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8046B" w14:textId="177E506B" w:rsidR="00591582" w:rsidRDefault="00591582" w:rsidP="007B3C05">
      <w:pPr>
        <w:spacing w:line="240" w:lineRule="auto"/>
      </w:pPr>
    </w:p>
    <w:p w14:paraId="48108AC1" w14:textId="799219CC" w:rsidR="004F4D22" w:rsidRDefault="0058705A" w:rsidP="007B3C05">
      <w:pPr>
        <w:pStyle w:val="Heading1"/>
        <w:spacing w:line="240" w:lineRule="auto"/>
        <w:rPr>
          <w:sz w:val="24"/>
        </w:rPr>
      </w:pPr>
      <w:r>
        <w:rPr>
          <w:sz w:val="24"/>
        </w:rPr>
        <w:t>Indicateurs clés de performance de la chaîne d’approvisionnement</w:t>
      </w:r>
    </w:p>
    <w:p w14:paraId="19948AC5" w14:textId="729C630F" w:rsidR="00677ED6" w:rsidRDefault="00677ED6" w:rsidP="007B3C05">
      <w:pPr>
        <w:spacing w:line="240" w:lineRule="auto"/>
      </w:pPr>
    </w:p>
    <w:p w14:paraId="62BA92E3" w14:textId="27B6518A" w:rsidR="00AF4BB1" w:rsidRPr="00677ED6" w:rsidRDefault="00677ED6" w:rsidP="007B3C05">
      <w:pPr>
        <w:spacing w:line="240" w:lineRule="auto"/>
      </w:pPr>
      <w:r>
        <w:t>Les indicateurs de performance clés (KPI) suivants peuvent être utiles pour surveiller les performances d’un processus de chaîne d’approvisionnement. De nombreux indicateurs de performance clés peuvent être suivis pour une chaîne d’approvisionnement de bout en bout ainsi que pour un segment ou une installation d’une chaîne d’approvisionnement (par exemple, un centre de santé, un entrepôt/magasin).</w:t>
      </w:r>
    </w:p>
    <w:p w14:paraId="746BF6A2" w14:textId="6CE190F8" w:rsidR="006040CB" w:rsidRDefault="006040CB" w:rsidP="007B3C05">
      <w:pPr>
        <w:spacing w:line="240" w:lineRule="auto"/>
        <w:jc w:val="center"/>
        <w:rPr>
          <w:rFonts w:cstheme="majorHAnsi"/>
          <w:b/>
          <w:bCs/>
          <w:color w:val="000000" w:themeColor="text1"/>
        </w:rPr>
      </w:pPr>
    </w:p>
    <w:p w14:paraId="1ED9E390" w14:textId="457CEB59" w:rsidR="00B53FEE" w:rsidRDefault="00B53FEE" w:rsidP="007B3C05">
      <w:pPr>
        <w:spacing w:line="240" w:lineRule="auto"/>
      </w:pPr>
    </w:p>
    <w:p w14:paraId="7C4C7675" w14:textId="1862E58A" w:rsidR="00FE3EAE" w:rsidRPr="00150499" w:rsidRDefault="00FE3EAE" w:rsidP="00FE3EAE">
      <w:pPr>
        <w:spacing w:line="240" w:lineRule="auto"/>
        <w:rPr>
          <w:rFonts w:eastAsia="Times New Roman" w:cstheme="majorHAnsi"/>
          <w:color w:val="000000" w:themeColor="text1"/>
          <w:szCs w:val="22"/>
        </w:rPr>
      </w:pPr>
      <w:r>
        <w:rPr>
          <w:b/>
          <w:bCs/>
          <w:color w:val="000000" w:themeColor="text1"/>
          <w:szCs w:val="22"/>
        </w:rPr>
        <w:t>Coût des marchandises vendues/distribuées :</w:t>
      </w:r>
      <w:r>
        <w:rPr>
          <w:color w:val="000000" w:themeColor="text1"/>
          <w:szCs w:val="22"/>
        </w:rPr>
        <w:t xml:space="preserve"> </w:t>
      </w:r>
      <w:r>
        <w:rPr>
          <w:color w:val="000000" w:themeColor="text1"/>
          <w:szCs w:val="22"/>
          <w:shd w:val="clear" w:color="auto" w:fill="FFFFFF"/>
        </w:rPr>
        <w:t>Le coût de la vente ou de la distribution de tous les biens ou marchandises pour une période donnée.</w:t>
      </w:r>
    </w:p>
    <w:p w14:paraId="1C695699" w14:textId="13408388" w:rsidR="00FE3EAE" w:rsidRDefault="002C6861" w:rsidP="00A65063">
      <w:pPr>
        <w:spacing w:before="120" w:line="240" w:lineRule="auto"/>
        <w:jc w:val="center"/>
        <w:rPr>
          <w:rFonts w:cstheme="majorHAnsi"/>
          <w:i/>
          <w:iCs/>
          <w:szCs w:val="22"/>
        </w:rPr>
      </w:pPr>
      <w:r>
        <w:rPr>
          <w:i/>
          <w:iCs/>
          <w:szCs w:val="22"/>
        </w:rPr>
        <w:t xml:space="preserve">Coût des biens ou des marchandises en stock au début de la période + Coût des biens ou des marchandises achetées pendant la période — Coût des biens ou des marchandises en stock à la fin de la période = Coût des marchandises vendues ou distribuées pendant la période </w:t>
      </w:r>
    </w:p>
    <w:p w14:paraId="0251E380" w14:textId="77777777" w:rsidR="00FE3EAE" w:rsidRDefault="00FE3EAE" w:rsidP="00247ABC">
      <w:pPr>
        <w:spacing w:line="240" w:lineRule="auto"/>
        <w:rPr>
          <w:rFonts w:cstheme="majorHAnsi"/>
          <w:b/>
          <w:bCs/>
          <w:color w:val="000000" w:themeColor="text1"/>
          <w:szCs w:val="22"/>
        </w:rPr>
      </w:pPr>
    </w:p>
    <w:p w14:paraId="5C1C2D45" w14:textId="520BE47B" w:rsidR="00247ABC" w:rsidRPr="00150499" w:rsidRDefault="00307F28" w:rsidP="00247ABC">
      <w:pPr>
        <w:spacing w:line="240" w:lineRule="auto"/>
        <w:rPr>
          <w:rFonts w:eastAsia="Times New Roman" w:cstheme="majorHAnsi"/>
          <w:color w:val="000000" w:themeColor="text1"/>
          <w:szCs w:val="22"/>
        </w:rPr>
      </w:pPr>
      <w:r>
        <w:rPr>
          <w:b/>
          <w:bCs/>
          <w:color w:val="000000" w:themeColor="text1"/>
          <w:szCs w:val="22"/>
        </w:rPr>
        <w:t xml:space="preserve">Taux de péremption </w:t>
      </w:r>
      <w:r w:rsidR="00247ABC">
        <w:rPr>
          <w:b/>
          <w:bCs/>
          <w:color w:val="000000" w:themeColor="text1"/>
          <w:szCs w:val="22"/>
        </w:rPr>
        <w:t>de marchandises :</w:t>
      </w:r>
      <w:r w:rsidR="00247ABC">
        <w:rPr>
          <w:color w:val="000000" w:themeColor="text1"/>
          <w:szCs w:val="22"/>
        </w:rPr>
        <w:t xml:space="preserve"> </w:t>
      </w:r>
      <w:r w:rsidR="00247ABC">
        <w:rPr>
          <w:color w:val="000000" w:themeColor="text1"/>
          <w:szCs w:val="22"/>
          <w:shd w:val="clear" w:color="auto" w:fill="FFFFFF"/>
        </w:rPr>
        <w:t>Pourcentage de biens ou de produits qui ont expiré au cours d’une période donnée alors qu’ils étaient en stock.</w:t>
      </w:r>
    </w:p>
    <w:p w14:paraId="4001A33B" w14:textId="1311F8E1" w:rsidR="00247ABC" w:rsidRDefault="00AE5CE0" w:rsidP="00247ABC">
      <w:pPr>
        <w:spacing w:before="120" w:line="240" w:lineRule="auto"/>
        <w:jc w:val="center"/>
        <w:rPr>
          <w:rFonts w:cstheme="majorHAnsi"/>
          <w:i/>
          <w:iCs/>
          <w:szCs w:val="22"/>
        </w:rPr>
      </w:pPr>
      <w:r>
        <w:rPr>
          <w:i/>
          <w:iCs/>
          <w:szCs w:val="22"/>
        </w:rPr>
        <w:t>(Volume de biens ou de marchandises expirées au cours de la période/Volume total de biens ou de marchandises en stock au cours de la période) X 100 = pourcentage de biens expirés %</w:t>
      </w:r>
    </w:p>
    <w:p w14:paraId="3EE9EB13" w14:textId="77777777" w:rsidR="00247ABC" w:rsidRDefault="00247ABC" w:rsidP="009E085A">
      <w:pPr>
        <w:spacing w:before="120" w:line="240" w:lineRule="auto"/>
        <w:rPr>
          <w:b/>
          <w:bCs/>
        </w:rPr>
      </w:pPr>
    </w:p>
    <w:p w14:paraId="3D26F361" w14:textId="6B42168B" w:rsidR="004E00F7" w:rsidRDefault="000C20F9" w:rsidP="004E00F7">
      <w:pPr>
        <w:spacing w:before="120" w:line="240" w:lineRule="auto"/>
      </w:pPr>
      <w:r>
        <w:rPr>
          <w:b/>
          <w:bCs/>
        </w:rPr>
        <w:t xml:space="preserve">Taux </w:t>
      </w:r>
      <w:r w:rsidR="004E00F7">
        <w:rPr>
          <w:b/>
          <w:bCs/>
        </w:rPr>
        <w:t xml:space="preserve">de précision de l’inventaire : </w:t>
      </w:r>
      <w:r w:rsidR="004E00F7">
        <w:t xml:space="preserve">Le pourcentage </w:t>
      </w:r>
      <w:r>
        <w:t>des produits</w:t>
      </w:r>
      <w:r w:rsidR="004E00F7">
        <w:t xml:space="preserve">, physiquement compté, par rapport à l’inventaire enregistré (par exemple, la base de données d’inventaire). </w:t>
      </w:r>
    </w:p>
    <w:p w14:paraId="1A53B578" w14:textId="7853626D" w:rsidR="004E00F7" w:rsidRDefault="00AE5CE0" w:rsidP="004E00F7">
      <w:pPr>
        <w:spacing w:before="120" w:line="240" w:lineRule="auto"/>
        <w:jc w:val="center"/>
        <w:rPr>
          <w:i/>
          <w:iCs/>
        </w:rPr>
      </w:pPr>
      <w:r>
        <w:rPr>
          <w:i/>
          <w:iCs/>
        </w:rPr>
        <w:t xml:space="preserve">(Nombre d’inventaires par </w:t>
      </w:r>
      <w:r w:rsidR="004310A7">
        <w:rPr>
          <w:rFonts w:ascii="Arial" w:hAnsi="Arial" w:cs="Arial"/>
          <w:b/>
          <w:bCs/>
          <w:color w:val="222222"/>
          <w:sz w:val="21"/>
          <w:szCs w:val="21"/>
          <w:shd w:val="clear" w:color="auto" w:fill="FFFFFF"/>
        </w:rPr>
        <w:t xml:space="preserve">UGS (article ou référence) </w:t>
      </w:r>
      <w:r>
        <w:rPr>
          <w:i/>
          <w:iCs/>
        </w:rPr>
        <w:t xml:space="preserve"> cohérent avec les enregistrements/total des </w:t>
      </w:r>
      <w:r w:rsidR="004310A7">
        <w:rPr>
          <w:i/>
          <w:iCs/>
        </w:rPr>
        <w:t xml:space="preserve">UGS </w:t>
      </w:r>
      <w:r>
        <w:rPr>
          <w:i/>
          <w:iCs/>
        </w:rPr>
        <w:t>enregistrés) X 100 = pourcentage de précision de l’inventaire</w:t>
      </w:r>
    </w:p>
    <w:p w14:paraId="31A01A53" w14:textId="08CD8449" w:rsidR="0066565D" w:rsidRPr="0066565D" w:rsidRDefault="0066565D" w:rsidP="004E00F7">
      <w:pPr>
        <w:spacing w:before="120" w:line="240" w:lineRule="auto"/>
        <w:jc w:val="center"/>
      </w:pPr>
      <w:r>
        <w:t>OU</w:t>
      </w:r>
    </w:p>
    <w:p w14:paraId="62DD3E57" w14:textId="31F3F5F2" w:rsidR="0066565D" w:rsidRDefault="00AE5CE0" w:rsidP="0066565D">
      <w:pPr>
        <w:spacing w:before="120" w:line="240" w:lineRule="auto"/>
        <w:jc w:val="center"/>
        <w:rPr>
          <w:i/>
          <w:iCs/>
        </w:rPr>
      </w:pPr>
      <w:r>
        <w:rPr>
          <w:i/>
          <w:iCs/>
        </w:rPr>
        <w:t xml:space="preserve">(Nombre total d’inventaires conforme aux enregistrements/inventaire total enregistré) X 100 = </w:t>
      </w:r>
      <w:r w:rsidR="004310A7">
        <w:rPr>
          <w:i/>
          <w:iCs/>
        </w:rPr>
        <w:t xml:space="preserve">taux </w:t>
      </w:r>
      <w:r>
        <w:rPr>
          <w:i/>
          <w:iCs/>
        </w:rPr>
        <w:t>d’exactitude de l’inventaire</w:t>
      </w:r>
    </w:p>
    <w:p w14:paraId="4F589DFD" w14:textId="77777777" w:rsidR="0066565D" w:rsidRPr="00664B6F" w:rsidRDefault="0066565D" w:rsidP="004E00F7">
      <w:pPr>
        <w:spacing w:before="120" w:line="240" w:lineRule="auto"/>
        <w:jc w:val="center"/>
        <w:rPr>
          <w:i/>
          <w:iCs/>
        </w:rPr>
      </w:pPr>
    </w:p>
    <w:p w14:paraId="151C96E1" w14:textId="064D60E4" w:rsidR="00003EBF" w:rsidRDefault="00003EBF" w:rsidP="009E085A">
      <w:pPr>
        <w:spacing w:before="120" w:line="240" w:lineRule="auto"/>
      </w:pPr>
      <w:r>
        <w:rPr>
          <w:b/>
          <w:bCs/>
        </w:rPr>
        <w:t xml:space="preserve">Jours d’inventaire d’approvisionnement (DoS) : </w:t>
      </w:r>
      <w:r>
        <w:t>La quantité de l’inventaire (stock), exprimé en jours d’utilisation, qui mesure le nombre de jours de financement immobilisé dans l’inventaire.</w:t>
      </w:r>
    </w:p>
    <w:p w14:paraId="6B5814BD" w14:textId="772F129D" w:rsidR="004949DD" w:rsidRPr="00664B6F" w:rsidRDefault="004949DD" w:rsidP="00664B6F">
      <w:pPr>
        <w:spacing w:before="120" w:line="240" w:lineRule="auto"/>
        <w:jc w:val="center"/>
        <w:rPr>
          <w:i/>
          <w:iCs/>
        </w:rPr>
      </w:pPr>
      <w:r>
        <w:rPr>
          <w:i/>
          <w:iCs/>
        </w:rPr>
        <w:t xml:space="preserve">Valeur brute de l’inventaire au coût standard/Coût d’une journée d’utilisation de l’inventaire au coût standard = jours </w:t>
      </w:r>
      <w:r w:rsidR="00FB544A">
        <w:rPr>
          <w:i/>
          <w:iCs/>
        </w:rPr>
        <w:t>d’approvisionnement disponible</w:t>
      </w:r>
    </w:p>
    <w:p w14:paraId="5804B8C4" w14:textId="77777777" w:rsidR="004645A1" w:rsidRDefault="004645A1" w:rsidP="004645A1">
      <w:pPr>
        <w:spacing w:before="120" w:line="240" w:lineRule="auto"/>
        <w:rPr>
          <w:rFonts w:cstheme="majorHAnsi"/>
          <w:b/>
          <w:bCs/>
          <w:szCs w:val="22"/>
        </w:rPr>
      </w:pPr>
    </w:p>
    <w:p w14:paraId="39C49C38" w14:textId="21F82D20" w:rsidR="004645A1" w:rsidRPr="00B102CB" w:rsidRDefault="004645A1" w:rsidP="004645A1">
      <w:pPr>
        <w:spacing w:before="120" w:line="240" w:lineRule="auto"/>
        <w:rPr>
          <w:rFonts w:cstheme="majorHAnsi"/>
          <w:szCs w:val="22"/>
        </w:rPr>
      </w:pPr>
      <w:r>
        <w:rPr>
          <w:b/>
          <w:bCs/>
          <w:szCs w:val="22"/>
        </w:rPr>
        <w:t>Taux de rotation des</w:t>
      </w:r>
      <w:r w:rsidR="00251C37">
        <w:rPr>
          <w:b/>
          <w:bCs/>
          <w:szCs w:val="22"/>
        </w:rPr>
        <w:t>stocks</w:t>
      </w:r>
      <w:r>
        <w:rPr>
          <w:b/>
          <w:bCs/>
          <w:szCs w:val="22"/>
        </w:rPr>
        <w:t xml:space="preserve">: </w:t>
      </w:r>
      <w:r>
        <w:t xml:space="preserve">Le nombre de fois où une chaîne d’approvisionnement/un établissement/un entrepôt/un magasin retourne son </w:t>
      </w:r>
      <w:r w:rsidR="00251C37">
        <w:t xml:space="preserve">stock </w:t>
      </w:r>
      <w:r>
        <w:t>chaque année.</w:t>
      </w:r>
    </w:p>
    <w:p w14:paraId="46A9F0ED" w14:textId="6608D2D6" w:rsidR="004645A1" w:rsidRPr="002B13D8" w:rsidRDefault="004645A1" w:rsidP="004645A1">
      <w:pPr>
        <w:spacing w:before="120" w:line="240" w:lineRule="auto"/>
        <w:jc w:val="center"/>
        <w:rPr>
          <w:rFonts w:cstheme="majorHAnsi"/>
          <w:i/>
          <w:iCs/>
          <w:szCs w:val="22"/>
        </w:rPr>
      </w:pPr>
      <w:r>
        <w:rPr>
          <w:i/>
          <w:iCs/>
          <w:szCs w:val="22"/>
        </w:rPr>
        <w:t xml:space="preserve">Valeur annuelle des </w:t>
      </w:r>
      <w:r w:rsidR="00251C37">
        <w:rPr>
          <w:i/>
          <w:iCs/>
          <w:szCs w:val="22"/>
        </w:rPr>
        <w:t xml:space="preserve">stocks </w:t>
      </w:r>
      <w:r>
        <w:rPr>
          <w:i/>
          <w:iCs/>
          <w:szCs w:val="22"/>
        </w:rPr>
        <w:t xml:space="preserve">détenus/Valeur moyenne des </w:t>
      </w:r>
      <w:r w:rsidR="00251C37">
        <w:rPr>
          <w:i/>
          <w:iCs/>
          <w:szCs w:val="22"/>
        </w:rPr>
        <w:t xml:space="preserve">stock </w:t>
      </w:r>
      <w:r>
        <w:rPr>
          <w:i/>
          <w:iCs/>
          <w:szCs w:val="22"/>
        </w:rPr>
        <w:t xml:space="preserve">disponibles = Taux de rotation des </w:t>
      </w:r>
      <w:r w:rsidR="00251C37">
        <w:rPr>
          <w:i/>
          <w:iCs/>
          <w:szCs w:val="22"/>
        </w:rPr>
        <w:t>stock</w:t>
      </w:r>
    </w:p>
    <w:p w14:paraId="008C931C" w14:textId="77777777" w:rsidR="004645A1" w:rsidRDefault="004645A1" w:rsidP="004645A1">
      <w:pPr>
        <w:spacing w:before="120" w:line="240" w:lineRule="auto"/>
        <w:jc w:val="center"/>
        <w:rPr>
          <w:i/>
          <w:iCs/>
        </w:rPr>
      </w:pPr>
    </w:p>
    <w:p w14:paraId="04A598D7" w14:textId="19C8183C" w:rsidR="003A7B62" w:rsidRDefault="003A7B62" w:rsidP="00335DBB">
      <w:pPr>
        <w:spacing w:line="240" w:lineRule="auto"/>
      </w:pPr>
      <w:r>
        <w:rPr>
          <w:b/>
          <w:bCs/>
        </w:rPr>
        <w:lastRenderedPageBreak/>
        <w:t xml:space="preserve">Pourcentage de livraison ponctuelle : </w:t>
      </w:r>
      <w:r>
        <w:t>Le pourcentage de commandes qui arrivent au plus tard à la date demandée.</w:t>
      </w:r>
    </w:p>
    <w:p w14:paraId="5FE52CA5" w14:textId="2983B3DE" w:rsidR="003A7B62" w:rsidRPr="009E085A" w:rsidRDefault="00AE5CE0" w:rsidP="003A7B62">
      <w:pPr>
        <w:spacing w:before="120" w:line="240" w:lineRule="auto"/>
        <w:jc w:val="center"/>
        <w:rPr>
          <w:i/>
          <w:iCs/>
        </w:rPr>
      </w:pPr>
      <w:r>
        <w:rPr>
          <w:i/>
          <w:iCs/>
        </w:rPr>
        <w:t>(Total des commandes effectuées à temps/Total des commandes) X 100 = livraison à temps %</w:t>
      </w:r>
    </w:p>
    <w:p w14:paraId="75EEAD26" w14:textId="77777777" w:rsidR="003A7B62" w:rsidRDefault="003A7B62" w:rsidP="003A7B62">
      <w:pPr>
        <w:spacing w:before="120" w:line="240" w:lineRule="auto"/>
      </w:pPr>
    </w:p>
    <w:p w14:paraId="5DB76763" w14:textId="7B8D4012" w:rsidR="009E085A" w:rsidRDefault="009E085A" w:rsidP="009E085A">
      <w:pPr>
        <w:spacing w:before="120" w:line="240" w:lineRule="auto"/>
      </w:pPr>
      <w:r>
        <w:rPr>
          <w:b/>
          <w:bCs/>
        </w:rPr>
        <w:t xml:space="preserve">Commandes livrées en pourcentage total : </w:t>
      </w:r>
      <w:r>
        <w:t xml:space="preserve">Le pourcentage de commandes dans lesquelles tous les articles reçus sont </w:t>
      </w:r>
      <w:r w:rsidR="00251C37">
        <w:t>en</w:t>
      </w:r>
      <w:r>
        <w:t xml:space="preserve"> bonne quantité.</w:t>
      </w:r>
    </w:p>
    <w:p w14:paraId="645D7D09" w14:textId="322011D5" w:rsidR="002020D5" w:rsidRPr="009E085A" w:rsidRDefault="00AE5CE0" w:rsidP="009E085A">
      <w:pPr>
        <w:spacing w:before="120" w:line="240" w:lineRule="auto"/>
        <w:jc w:val="center"/>
        <w:rPr>
          <w:i/>
          <w:iCs/>
        </w:rPr>
      </w:pPr>
      <w:r>
        <w:rPr>
          <w:i/>
          <w:iCs/>
        </w:rPr>
        <w:t>(Total des commandes livrées en totalité/Total des commandes) X 100 = Commandes livrées en totalité %</w:t>
      </w:r>
    </w:p>
    <w:p w14:paraId="254158E2" w14:textId="56FB9677" w:rsidR="002020D5" w:rsidRDefault="002020D5" w:rsidP="009E085A">
      <w:pPr>
        <w:spacing w:before="120" w:line="240" w:lineRule="auto"/>
      </w:pPr>
    </w:p>
    <w:p w14:paraId="0CC82E32" w14:textId="1358D61F" w:rsidR="002020D5" w:rsidRDefault="002020D5" w:rsidP="009E085A">
      <w:pPr>
        <w:spacing w:before="120" w:line="240" w:lineRule="auto"/>
      </w:pPr>
      <w:r>
        <w:rPr>
          <w:b/>
          <w:bCs/>
        </w:rPr>
        <w:t xml:space="preserve">Pourcentage parfait de traitement des commandes : </w:t>
      </w:r>
      <w:r>
        <w:t>Le pourcentage de commandes répondant aux performances de livraison avec une documentation complète et précise et aucun problème de qualité ; tous les composants individuels des commandes sont parfaits. Également appelé taux de livraison complet et à temps.</w:t>
      </w:r>
    </w:p>
    <w:p w14:paraId="4BE07B6A" w14:textId="7820F5D7" w:rsidR="00C351F8" w:rsidRPr="009E085A" w:rsidRDefault="00AE5CE0" w:rsidP="009E085A">
      <w:pPr>
        <w:spacing w:before="120" w:line="240" w:lineRule="auto"/>
        <w:jc w:val="center"/>
        <w:rPr>
          <w:i/>
          <w:iCs/>
        </w:rPr>
      </w:pPr>
      <w:r>
        <w:rPr>
          <w:i/>
          <w:iCs/>
        </w:rPr>
        <w:t>(Total des commandes parfaites/Total des commandes) X 100 = Exécution des commandes parfaites %.</w:t>
      </w:r>
    </w:p>
    <w:p w14:paraId="4C796197" w14:textId="3EA98496" w:rsidR="00426087" w:rsidRDefault="00426087" w:rsidP="00B71359">
      <w:pPr>
        <w:spacing w:line="240" w:lineRule="auto"/>
        <w:jc w:val="center"/>
      </w:pPr>
    </w:p>
    <w:p w14:paraId="0850372D" w14:textId="2D89DFCC" w:rsidR="00B9578B" w:rsidRDefault="001350C7" w:rsidP="00B9578B">
      <w:pPr>
        <w:spacing w:line="240" w:lineRule="auto"/>
      </w:pPr>
      <w:r>
        <w:rPr>
          <w:b/>
          <w:bCs/>
        </w:rPr>
        <w:t xml:space="preserve">Durée du cycle d’approvisionnement : </w:t>
      </w:r>
      <w:r>
        <w:t>Le temps moyen pour acheter des biens ou des marchandises, qui devrait inclure le temps d’identifier les fournisseurs, de sélectionner le fournisseur, de passer des commandes, de transporter des commandes et de recevoir des biens ou des marchandises.</w:t>
      </w:r>
    </w:p>
    <w:p w14:paraId="161DC230" w14:textId="56ED3B42" w:rsidR="001350C7" w:rsidRDefault="00E660D0" w:rsidP="001350C7">
      <w:pPr>
        <w:spacing w:before="120" w:line="240" w:lineRule="auto"/>
        <w:jc w:val="center"/>
        <w:rPr>
          <w:i/>
          <w:iCs/>
        </w:rPr>
      </w:pPr>
      <w:r>
        <w:rPr>
          <w:i/>
          <w:iCs/>
        </w:rPr>
        <w:t>Temps nécessaire à l’obtention de toutes les commandes/total des commandes = temps de cycle moyen en jours</w:t>
      </w:r>
    </w:p>
    <w:p w14:paraId="7B131878" w14:textId="269E9C1F" w:rsidR="00257C44" w:rsidRDefault="00257C44" w:rsidP="001350C7">
      <w:pPr>
        <w:spacing w:before="120" w:line="240" w:lineRule="auto"/>
        <w:jc w:val="center"/>
        <w:rPr>
          <w:i/>
          <w:iCs/>
        </w:rPr>
      </w:pPr>
    </w:p>
    <w:p w14:paraId="6E2635AD" w14:textId="14479B5B" w:rsidR="0074637A" w:rsidRPr="00150499" w:rsidRDefault="0074637A" w:rsidP="0074637A">
      <w:pPr>
        <w:spacing w:line="240" w:lineRule="auto"/>
        <w:rPr>
          <w:rFonts w:eastAsia="Times New Roman" w:cstheme="majorHAnsi"/>
          <w:color w:val="000000" w:themeColor="text1"/>
          <w:szCs w:val="22"/>
        </w:rPr>
      </w:pPr>
      <w:r>
        <w:rPr>
          <w:b/>
          <w:bCs/>
          <w:color w:val="000000" w:themeColor="text1"/>
          <w:szCs w:val="22"/>
        </w:rPr>
        <w:t>Pourcentage de marchandises retournées :</w:t>
      </w:r>
      <w:r>
        <w:rPr>
          <w:color w:val="000000" w:themeColor="text1"/>
          <w:szCs w:val="22"/>
        </w:rPr>
        <w:t xml:space="preserve"> </w:t>
      </w:r>
      <w:r>
        <w:rPr>
          <w:color w:val="000000" w:themeColor="text1"/>
          <w:szCs w:val="22"/>
          <w:shd w:val="clear" w:color="auto" w:fill="FFFFFF"/>
        </w:rPr>
        <w:t>Pourcentage de biens/produits retournés aux fournisseurs pour une période donnée.</w:t>
      </w:r>
    </w:p>
    <w:p w14:paraId="4AE62FB3" w14:textId="6FE34EB4" w:rsidR="0074637A" w:rsidRDefault="00AE5CE0" w:rsidP="0074637A">
      <w:pPr>
        <w:spacing w:before="120" w:line="240" w:lineRule="auto"/>
        <w:jc w:val="center"/>
        <w:rPr>
          <w:rFonts w:cstheme="majorHAnsi"/>
          <w:i/>
          <w:iCs/>
          <w:szCs w:val="22"/>
        </w:rPr>
      </w:pPr>
      <w:r>
        <w:rPr>
          <w:i/>
          <w:iCs/>
          <w:szCs w:val="22"/>
        </w:rPr>
        <w:t>(Volume de marchandises ou de produits retournés pour la période/Volume total de marchandises ou de produits pour la période) X 100 = pourcentage de marchandises retournées %</w:t>
      </w:r>
    </w:p>
    <w:p w14:paraId="7BC0B79F" w14:textId="77777777" w:rsidR="0074637A" w:rsidRDefault="0074637A" w:rsidP="0074637A">
      <w:pPr>
        <w:spacing w:before="120" w:line="240" w:lineRule="auto"/>
        <w:rPr>
          <w:b/>
          <w:bCs/>
        </w:rPr>
      </w:pPr>
    </w:p>
    <w:p w14:paraId="39CFFB41" w14:textId="74DFEBB2" w:rsidR="00592A0D" w:rsidRPr="00150499" w:rsidRDefault="00251C37" w:rsidP="00592A0D">
      <w:pPr>
        <w:spacing w:line="240" w:lineRule="auto"/>
        <w:rPr>
          <w:rFonts w:eastAsia="Times New Roman" w:cstheme="majorHAnsi"/>
          <w:color w:val="000000" w:themeColor="text1"/>
          <w:szCs w:val="22"/>
        </w:rPr>
      </w:pPr>
      <w:r>
        <w:rPr>
          <w:b/>
          <w:bCs/>
          <w:color w:val="000000" w:themeColor="text1"/>
          <w:szCs w:val="22"/>
        </w:rPr>
        <w:t xml:space="preserve">Taux </w:t>
      </w:r>
      <w:r w:rsidR="00592A0D">
        <w:rPr>
          <w:b/>
          <w:bCs/>
          <w:color w:val="000000" w:themeColor="text1"/>
          <w:szCs w:val="22"/>
        </w:rPr>
        <w:t>de rupture de stock :</w:t>
      </w:r>
      <w:r w:rsidR="00592A0D">
        <w:rPr>
          <w:color w:val="000000" w:themeColor="text1"/>
          <w:szCs w:val="22"/>
        </w:rPr>
        <w:t xml:space="preserve"> </w:t>
      </w:r>
      <w:r w:rsidR="00592A0D">
        <w:rPr>
          <w:color w:val="000000" w:themeColor="text1"/>
          <w:szCs w:val="22"/>
          <w:shd w:val="clear" w:color="auto" w:fill="FFFFFF"/>
        </w:rPr>
        <w:t>Le pourcentage de biens ou de marchandises qui n’ont pas pu être fournis pendant une période donnée.</w:t>
      </w:r>
    </w:p>
    <w:p w14:paraId="14E4DD4F" w14:textId="7F74CE1A" w:rsidR="00150499" w:rsidRDefault="009C2146" w:rsidP="00150499">
      <w:pPr>
        <w:spacing w:before="120" w:line="240" w:lineRule="auto"/>
        <w:jc w:val="center"/>
        <w:rPr>
          <w:rFonts w:cstheme="majorHAnsi"/>
          <w:i/>
          <w:iCs/>
          <w:szCs w:val="22"/>
        </w:rPr>
      </w:pPr>
      <w:r>
        <w:rPr>
          <w:i/>
          <w:iCs/>
          <w:szCs w:val="22"/>
        </w:rPr>
        <w:t>(Volume de biens ou de marchandises qui n’a pas pu être fourni sur demande au cours de la période/Volume total de biens ou de marchandises demandés au cours de la période) X 100 = Pourcentage de rupture de stock %</w:t>
      </w:r>
    </w:p>
    <w:p w14:paraId="77D1CABE" w14:textId="4E0A0567" w:rsidR="00D31D23" w:rsidRPr="00D31D23" w:rsidRDefault="00D31D23" w:rsidP="00150499">
      <w:pPr>
        <w:spacing w:before="120" w:line="240" w:lineRule="auto"/>
        <w:jc w:val="center"/>
        <w:rPr>
          <w:rFonts w:cstheme="majorHAnsi"/>
          <w:szCs w:val="22"/>
        </w:rPr>
      </w:pPr>
      <w:r>
        <w:t>OU</w:t>
      </w:r>
    </w:p>
    <w:p w14:paraId="2E8B0260" w14:textId="368281AF" w:rsidR="00D31D23" w:rsidRDefault="009C2146" w:rsidP="00D31D23">
      <w:pPr>
        <w:spacing w:before="120" w:line="240" w:lineRule="auto"/>
        <w:jc w:val="center"/>
        <w:rPr>
          <w:rFonts w:cstheme="majorHAnsi"/>
          <w:i/>
          <w:iCs/>
          <w:szCs w:val="22"/>
        </w:rPr>
      </w:pPr>
      <w:r>
        <w:rPr>
          <w:i/>
          <w:iCs/>
          <w:szCs w:val="22"/>
        </w:rPr>
        <w:t>(Nombre de demandes de biens ou de marchandises qui n’ont pas pu être fournies au cours de la période/Nombre total de demandes de biens ou de marchandises au cours de la période) X 100 = pourcentage de rupture de stock %</w:t>
      </w:r>
    </w:p>
    <w:p w14:paraId="6401A6BC" w14:textId="44FF5BCE" w:rsidR="00592A0D" w:rsidRDefault="00592A0D" w:rsidP="001350C7">
      <w:pPr>
        <w:spacing w:before="120" w:line="240" w:lineRule="auto"/>
        <w:jc w:val="center"/>
        <w:rPr>
          <w:i/>
          <w:iCs/>
        </w:rPr>
      </w:pPr>
    </w:p>
    <w:p w14:paraId="4EE8CAFE" w14:textId="77777777" w:rsidR="00FA2DF5" w:rsidRDefault="00FA2DF5">
      <w:pPr>
        <w:spacing w:line="240" w:lineRule="auto"/>
      </w:pPr>
      <w:r>
        <w:br w:type="page"/>
      </w:r>
    </w:p>
    <w:p w14:paraId="4B950011" w14:textId="14850A4C" w:rsidR="00CB5C31" w:rsidRPr="00335DBB" w:rsidRDefault="00251C37" w:rsidP="00CB5C31">
      <w:pPr>
        <w:spacing w:line="240" w:lineRule="auto"/>
        <w:rPr>
          <w:b/>
          <w:bCs/>
        </w:rPr>
      </w:pPr>
      <w:r>
        <w:lastRenderedPageBreak/>
        <w:t xml:space="preserve">Taux </w:t>
      </w:r>
      <w:r w:rsidR="004B4A7A">
        <w:t>d’utilisation de la capacité de stockage</w:t>
      </w:r>
      <w:r w:rsidR="00AA0271">
        <w:t xml:space="preserve">. </w:t>
      </w:r>
      <w:r w:rsidR="004B4A7A">
        <w:t>Le pourcentage d’espace utilisé pour le stockage de biens ou de marchandises.</w:t>
      </w:r>
    </w:p>
    <w:p w14:paraId="1152E30E" w14:textId="77777777" w:rsidR="009C2146" w:rsidRPr="002660E9" w:rsidRDefault="009C2146" w:rsidP="00CB5C31">
      <w:pPr>
        <w:spacing w:line="240" w:lineRule="auto"/>
        <w:rPr>
          <w:b/>
          <w:bCs/>
        </w:rPr>
      </w:pPr>
    </w:p>
    <w:p w14:paraId="32386ECE" w14:textId="01C63B00" w:rsidR="00CB5C31" w:rsidRPr="004B4A7A" w:rsidRDefault="009C2146" w:rsidP="004B4A7A">
      <w:pPr>
        <w:spacing w:line="240" w:lineRule="auto"/>
        <w:jc w:val="center"/>
        <w:rPr>
          <w:b/>
          <w:bCs/>
          <w:i/>
          <w:iCs/>
        </w:rPr>
      </w:pPr>
      <w:r>
        <w:rPr>
          <w:i/>
          <w:iCs/>
          <w:szCs w:val="22"/>
        </w:rPr>
        <w:t xml:space="preserve">(Capacité de stockage occupée/Capacité totale de stockage) X 100 = Utilisation de la capacité de stockage % </w:t>
      </w:r>
      <w:r>
        <w:rPr>
          <w:i/>
          <w:iCs/>
          <w:szCs w:val="22"/>
        </w:rPr>
        <w:cr/>
      </w:r>
      <w:r>
        <w:rPr>
          <w:i/>
          <w:iCs/>
          <w:szCs w:val="22"/>
        </w:rPr>
        <w:br/>
      </w:r>
    </w:p>
    <w:p w14:paraId="4EE69162" w14:textId="6A600567" w:rsidR="001B0CFB" w:rsidRPr="002660E9" w:rsidRDefault="001B0CFB" w:rsidP="00CB5C31">
      <w:pPr>
        <w:spacing w:line="240" w:lineRule="auto"/>
        <w:rPr>
          <w:b/>
          <w:bCs/>
        </w:rPr>
      </w:pPr>
      <w:r>
        <w:rPr>
          <w:b/>
          <w:bCs/>
        </w:rPr>
        <w:t xml:space="preserve">Délai de livraison des fournisseurs : </w:t>
      </w:r>
      <w:r>
        <w:t>Le temps qu’il faut entre la commande d’un bien ou d’une marchandise et sa réception. Le délai de livraison des fournisseurs peut être calculé pour un bien ou un produit spécifique, un fournisseur précis, tous les biens ou produits, ou tous les fournisseurs.</w:t>
      </w:r>
    </w:p>
    <w:p w14:paraId="45D7172A" w14:textId="0BF07329" w:rsidR="002660E9" w:rsidRPr="002B13D8" w:rsidRDefault="00B80D34" w:rsidP="00CB5C31">
      <w:pPr>
        <w:spacing w:before="120" w:line="240" w:lineRule="auto"/>
        <w:jc w:val="center"/>
        <w:rPr>
          <w:rFonts w:cstheme="majorHAnsi"/>
          <w:i/>
          <w:iCs/>
          <w:szCs w:val="22"/>
        </w:rPr>
      </w:pPr>
      <w:r>
        <w:rPr>
          <w:i/>
          <w:iCs/>
          <w:szCs w:val="22"/>
        </w:rPr>
        <w:t>Total des délais de réception des produits ou des marchandises/Nombre de commandes de produits ou de marchandises = Jours de livraison du fournisseur</w:t>
      </w:r>
    </w:p>
    <w:p w14:paraId="0755EFDC" w14:textId="77777777" w:rsidR="00A100B0" w:rsidRDefault="00A100B0" w:rsidP="00B9578B">
      <w:pPr>
        <w:spacing w:line="240" w:lineRule="auto"/>
        <w:rPr>
          <w:b/>
          <w:bCs/>
        </w:rPr>
      </w:pPr>
    </w:p>
    <w:p w14:paraId="7F165091" w14:textId="19A0165A" w:rsidR="001350C7" w:rsidRDefault="00BA4361" w:rsidP="00B9578B">
      <w:pPr>
        <w:spacing w:line="240" w:lineRule="auto"/>
      </w:pPr>
      <w:r>
        <w:rPr>
          <w:b/>
          <w:bCs/>
        </w:rPr>
        <w:t>Coût total de gestion de la chaîne d’approvisionnement :</w:t>
      </w:r>
      <w:r>
        <w:t xml:space="preserve"> Somme des coûts de planification, d’approvisionnement, de livraison et de retour de tous les biens/produits. (Le coût des inventaires est généralement comptabilisé par la métrique du coût des marchandises vendues [CMV].)</w:t>
      </w:r>
    </w:p>
    <w:p w14:paraId="06ED7EBD" w14:textId="453B929D" w:rsidR="00976CC1" w:rsidRDefault="00976CC1" w:rsidP="006226D9">
      <w:pPr>
        <w:spacing w:line="240" w:lineRule="auto"/>
        <w:jc w:val="center"/>
        <w:rPr>
          <w:i/>
          <w:iCs/>
        </w:rPr>
      </w:pPr>
      <w:r>
        <w:rPr>
          <w:i/>
          <w:iCs/>
        </w:rPr>
        <w:t>Coût à planifier + Coût à la source + Coût à livrer + Coût à retourner + Coûts d’atténuation = Coûts totaux de la chaîne d’approvisionnement</w:t>
      </w:r>
    </w:p>
    <w:p w14:paraId="172D5FB6" w14:textId="42BD9698" w:rsidR="00117CFE" w:rsidRDefault="00117CFE" w:rsidP="006226D9">
      <w:pPr>
        <w:spacing w:line="240" w:lineRule="auto"/>
        <w:jc w:val="center"/>
        <w:rPr>
          <w:i/>
          <w:iCs/>
        </w:rPr>
      </w:pPr>
    </w:p>
    <w:p w14:paraId="7E471803" w14:textId="08712048" w:rsidR="00117CFE" w:rsidRDefault="00117CFE" w:rsidP="006226D9">
      <w:pPr>
        <w:spacing w:line="240" w:lineRule="auto"/>
        <w:jc w:val="center"/>
        <w:rPr>
          <w:i/>
          <w:iCs/>
        </w:rPr>
      </w:pPr>
    </w:p>
    <w:p w14:paraId="76F020ED" w14:textId="752C1BD5" w:rsidR="00117CFE" w:rsidRDefault="00117CFE" w:rsidP="006226D9">
      <w:pPr>
        <w:spacing w:line="240" w:lineRule="auto"/>
        <w:jc w:val="center"/>
        <w:rPr>
          <w:i/>
          <w:iCs/>
        </w:rPr>
      </w:pPr>
    </w:p>
    <w:p w14:paraId="38349E69" w14:textId="77777777" w:rsidR="00117CFE" w:rsidRPr="006226D9" w:rsidRDefault="00117CFE" w:rsidP="006226D9">
      <w:pPr>
        <w:spacing w:line="240" w:lineRule="auto"/>
        <w:jc w:val="center"/>
        <w:rPr>
          <w:i/>
          <w:iCs/>
        </w:rPr>
      </w:pPr>
    </w:p>
    <w:sectPr w:rsidR="00117CFE" w:rsidRPr="006226D9" w:rsidSect="0026235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6F1C7" w14:textId="77777777" w:rsidR="00876132" w:rsidRDefault="00876132">
      <w:pPr>
        <w:spacing w:line="240" w:lineRule="auto"/>
      </w:pPr>
      <w:r>
        <w:separator/>
      </w:r>
    </w:p>
  </w:endnote>
  <w:endnote w:type="continuationSeparator" w:id="0">
    <w:p w14:paraId="1EAA018A" w14:textId="77777777" w:rsidR="00876132" w:rsidRDefault="008761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Courier">
    <w:panose1 w:val="02000500000000000000"/>
    <w:charset w:val="00"/>
    <w:family w:val="auto"/>
    <w:pitch w:val="variable"/>
    <w:sig w:usb0="00000003" w:usb1="00000000" w:usb2="00000000" w:usb3="00000000" w:csb0="00000003"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Bell MT">
    <w:panose1 w:val="02020503060305020303"/>
    <w:charset w:val="4D"/>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83E2A" w14:textId="77777777" w:rsidR="00367053" w:rsidRDefault="00367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9481D" w14:textId="77777777" w:rsidR="00FA2DF5" w:rsidRPr="00FA2DF5" w:rsidRDefault="00FA2DF5" w:rsidP="00FA2DF5">
    <w:pPr>
      <w:ind w:right="360"/>
      <w:rPr>
        <w:rFonts w:eastAsia="Times New Roman" w:cstheme="majorHAnsi"/>
        <w:color w:val="000000" w:themeColor="text1"/>
        <w:sz w:val="20"/>
        <w:szCs w:val="20"/>
      </w:rPr>
    </w:pPr>
  </w:p>
  <w:sdt>
    <w:sdtPr>
      <w:rPr>
        <w:rStyle w:val="PageNumber"/>
        <w:rFonts w:asciiTheme="majorHAnsi" w:hAnsiTheme="majorHAnsi" w:cstheme="majorHAnsi"/>
        <w:color w:val="000000" w:themeColor="text1"/>
        <w:sz w:val="20"/>
        <w:szCs w:val="20"/>
      </w:rPr>
      <w:id w:val="1540556235"/>
      <w:docPartObj>
        <w:docPartGallery w:val="Page Numbers (Bottom of Page)"/>
        <w:docPartUnique/>
      </w:docPartObj>
    </w:sdtPr>
    <w:sdtEndPr>
      <w:rPr>
        <w:rStyle w:val="PageNumber"/>
      </w:rPr>
    </w:sdtEndPr>
    <w:sdtContent>
      <w:p w14:paraId="1DB0282D" w14:textId="77777777" w:rsidR="00FA2DF5" w:rsidRPr="00FA2DF5" w:rsidRDefault="00FA2DF5" w:rsidP="00FA2DF5">
        <w:pPr>
          <w:pStyle w:val="Footer"/>
          <w:framePr w:wrap="none" w:vAnchor="text" w:hAnchor="page" w:x="10667" w:y="7"/>
          <w:rPr>
            <w:rStyle w:val="PageNumber"/>
            <w:rFonts w:asciiTheme="majorHAnsi" w:hAnsiTheme="majorHAnsi" w:cstheme="majorHAnsi"/>
            <w:color w:val="000000" w:themeColor="text1"/>
            <w:sz w:val="20"/>
            <w:szCs w:val="20"/>
          </w:rPr>
        </w:pPr>
        <w:r w:rsidRPr="00FA2DF5">
          <w:rPr>
            <w:rStyle w:val="PageNumber"/>
            <w:rFonts w:asciiTheme="majorHAnsi" w:hAnsiTheme="majorHAnsi" w:cstheme="majorHAnsi"/>
            <w:color w:val="000000" w:themeColor="text1"/>
            <w:sz w:val="20"/>
            <w:szCs w:val="20"/>
          </w:rPr>
          <w:fldChar w:fldCharType="begin"/>
        </w:r>
        <w:r w:rsidRPr="00FA2DF5">
          <w:rPr>
            <w:rStyle w:val="PageNumber"/>
            <w:rFonts w:asciiTheme="majorHAnsi" w:hAnsiTheme="majorHAnsi" w:cstheme="majorHAnsi"/>
            <w:color w:val="000000" w:themeColor="text1"/>
            <w:sz w:val="20"/>
            <w:szCs w:val="20"/>
          </w:rPr>
          <w:instrText xml:space="preserve"> PAGE </w:instrText>
        </w:r>
        <w:r w:rsidRPr="00FA2DF5">
          <w:rPr>
            <w:rStyle w:val="PageNumber"/>
            <w:rFonts w:asciiTheme="majorHAnsi" w:hAnsiTheme="majorHAnsi" w:cstheme="majorHAnsi"/>
            <w:color w:val="000000" w:themeColor="text1"/>
            <w:sz w:val="20"/>
            <w:szCs w:val="20"/>
          </w:rPr>
          <w:fldChar w:fldCharType="separate"/>
        </w:r>
        <w:r w:rsidRPr="00FA2DF5">
          <w:rPr>
            <w:rStyle w:val="PageNumber"/>
            <w:rFonts w:asciiTheme="majorHAnsi" w:hAnsiTheme="majorHAnsi" w:cstheme="majorHAnsi"/>
            <w:color w:val="000000" w:themeColor="text1"/>
            <w:sz w:val="20"/>
            <w:szCs w:val="20"/>
          </w:rPr>
          <w:t>1</w:t>
        </w:r>
        <w:r w:rsidRPr="00FA2DF5">
          <w:rPr>
            <w:rStyle w:val="PageNumber"/>
            <w:rFonts w:asciiTheme="majorHAnsi" w:hAnsiTheme="majorHAnsi" w:cstheme="majorHAnsi"/>
            <w:color w:val="000000" w:themeColor="text1"/>
            <w:sz w:val="20"/>
            <w:szCs w:val="20"/>
          </w:rPr>
          <w:fldChar w:fldCharType="end"/>
        </w:r>
      </w:p>
    </w:sdtContent>
  </w:sdt>
  <w:p w14:paraId="0A01FD33" w14:textId="74B70DD8" w:rsidR="00FA2DF5" w:rsidRPr="00FA2DF5" w:rsidRDefault="00FA2DF5" w:rsidP="00FA2DF5">
    <w:pPr>
      <w:ind w:right="360"/>
      <w:rPr>
        <w:rFonts w:eastAsia="Times New Roman" w:cstheme="majorHAnsi"/>
        <w:color w:val="000000" w:themeColor="text1"/>
        <w:sz w:val="20"/>
        <w:szCs w:val="20"/>
      </w:rPr>
    </w:pPr>
    <w:r w:rsidRPr="00FA2DF5">
      <w:rPr>
        <w:rFonts w:eastAsia="Times New Roman" w:cstheme="majorHAnsi"/>
        <w:color w:val="000000" w:themeColor="text1"/>
        <w:sz w:val="20"/>
        <w:szCs w:val="20"/>
      </w:rPr>
      <w:t>©</w:t>
    </w:r>
    <w:r w:rsidRPr="00FA2DF5">
      <w:rPr>
        <w:rFonts w:cstheme="majorHAnsi"/>
        <w:color w:val="000000" w:themeColor="text1"/>
        <w:sz w:val="20"/>
        <w:szCs w:val="20"/>
      </w:rPr>
      <w:t xml:space="preserve"> </w:t>
    </w:r>
    <w:r w:rsidRPr="00FA2DF5">
      <w:rPr>
        <w:rFonts w:eastAsia="Times New Roman" w:cstheme="majorHAnsi"/>
        <w:color w:val="000000" w:themeColor="text1"/>
        <w:sz w:val="20"/>
        <w:szCs w:val="20"/>
      </w:rPr>
      <w:t>2020 APICS Inc., dba The Association for Supply Chain Management.  All rights reserved.</w:t>
    </w:r>
  </w:p>
  <w:p w14:paraId="2D9B0491" w14:textId="77777777" w:rsidR="00FA2DF5" w:rsidRPr="00FA2DF5" w:rsidRDefault="00FA2DF5" w:rsidP="00FA2DF5">
    <w:pPr>
      <w:ind w:right="360"/>
      <w:rPr>
        <w:rFonts w:eastAsia="Times New Roman" w:cstheme="majorHAnsi"/>
        <w:color w:val="000000" w:themeColor="text1"/>
        <w:sz w:val="20"/>
        <w:szCs w:val="20"/>
      </w:rPr>
    </w:pPr>
  </w:p>
  <w:p w14:paraId="18F10D06" w14:textId="3A356D4A" w:rsidR="00F65220" w:rsidRPr="00792931" w:rsidRDefault="00696BD2" w:rsidP="00FA2DF5">
    <w:pPr>
      <w:pStyle w:val="Footer"/>
      <w:ind w:right="360"/>
      <w:jc w:val="center"/>
    </w:pPr>
    <w:r>
      <w:rPr>
        <w:rFonts w:asciiTheme="majorHAnsi" w:hAnsiTheme="majorHAnsi" w:cstheme="majorHAnsi"/>
        <w:color w:val="000000" w:themeColor="text1"/>
        <w:sz w:val="20"/>
        <w:szCs w:val="20"/>
      </w:rPr>
      <w:t xml:space="preserve">ASCM GHSC </w:t>
    </w:r>
    <w:r w:rsidR="006F4788" w:rsidRPr="00FA2DF5">
      <w:rPr>
        <w:rFonts w:asciiTheme="majorHAnsi" w:hAnsiTheme="majorHAnsi" w:cstheme="majorHAnsi"/>
        <w:color w:val="000000" w:themeColor="text1"/>
        <w:sz w:val="20"/>
        <w:szCs w:val="20"/>
      </w:rPr>
      <w:t>Modèle de maturité v8.0 — Indicateurs clés de performance de la chaîne d’appr</w:t>
    </w:r>
    <w:r w:rsidR="006F4788" w:rsidRPr="00FA2DF5">
      <w:rPr>
        <w:rFonts w:asciiTheme="majorHAnsi" w:hAnsiTheme="majorHAnsi" w:cstheme="majorHAnsi"/>
        <w:color w:val="6C6C6C"/>
        <w:sz w:val="20"/>
        <w:szCs w:val="20"/>
      </w:rPr>
      <w:t>ovisionnement</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F24D3" w14:textId="77777777" w:rsidR="00367053" w:rsidRDefault="00367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8FAF9" w14:textId="77777777" w:rsidR="00876132" w:rsidRDefault="00876132">
      <w:pPr>
        <w:spacing w:line="240" w:lineRule="auto"/>
      </w:pPr>
      <w:r>
        <w:separator/>
      </w:r>
    </w:p>
  </w:footnote>
  <w:footnote w:type="continuationSeparator" w:id="0">
    <w:p w14:paraId="00333067" w14:textId="77777777" w:rsidR="00876132" w:rsidRDefault="008761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4225" w14:textId="77777777" w:rsidR="00367053" w:rsidRDefault="00367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E58BE" w14:textId="75B5AC7F" w:rsidR="00F65220" w:rsidRPr="00DB65A8" w:rsidRDefault="00FA2DF5" w:rsidP="006F4788">
    <w:pPr>
      <w:pStyle w:val="Header"/>
      <w:rPr>
        <w:sz w:val="16"/>
        <w:szCs w:val="16"/>
      </w:rPr>
    </w:pPr>
    <w:r>
      <w:rPr>
        <w:noProof/>
      </w:rPr>
      <w:drawing>
        <wp:anchor distT="0" distB="0" distL="114300" distR="114300" simplePos="0" relativeHeight="251700224" behindDoc="0" locked="0" layoutInCell="1" allowOverlap="0" wp14:anchorId="70D00F12" wp14:editId="6B80BC7E">
          <wp:simplePos x="0" y="0"/>
          <wp:positionH relativeFrom="column">
            <wp:posOffset>1473200</wp:posOffset>
          </wp:positionH>
          <wp:positionV relativeFrom="paragraph">
            <wp:posOffset>23495</wp:posOffset>
          </wp:positionV>
          <wp:extent cx="2788920" cy="630936"/>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SC.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3093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BA98C" w14:textId="77777777" w:rsidR="00367053" w:rsidRDefault="00367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E688E9A"/>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0DFE4AB6"/>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A838E96C"/>
    <w:lvl w:ilvl="0">
      <w:start w:val="1"/>
      <w:numFmt w:val="decimal"/>
      <w:lvlText w:val="%1."/>
      <w:lvlJc w:val="left"/>
      <w:pPr>
        <w:tabs>
          <w:tab w:val="num" w:pos="720"/>
        </w:tabs>
        <w:ind w:left="720" w:hanging="360"/>
      </w:pPr>
    </w:lvl>
  </w:abstractNum>
  <w:abstractNum w:abstractNumId="3" w15:restartNumberingAfterBreak="0">
    <w:nsid w:val="FFFFFF80"/>
    <w:multiLevelType w:val="singleLevel"/>
    <w:tmpl w:val="919EFC0E"/>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736218FE"/>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3320CE28"/>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6AF4843E"/>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2105634B"/>
    <w:multiLevelType w:val="hybridMultilevel"/>
    <w:tmpl w:val="11BEF7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D55E76"/>
    <w:multiLevelType w:val="hybridMultilevel"/>
    <w:tmpl w:val="1B2C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44378"/>
    <w:multiLevelType w:val="hybridMultilevel"/>
    <w:tmpl w:val="292A7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22C28BE"/>
    <w:multiLevelType w:val="hybridMultilevel"/>
    <w:tmpl w:val="86CCA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2D2E9E"/>
    <w:multiLevelType w:val="hybridMultilevel"/>
    <w:tmpl w:val="4BB005AE"/>
    <w:lvl w:ilvl="0" w:tplc="E87EB094">
      <w:start w:val="1"/>
      <w:numFmt w:val="bullet"/>
      <w:pStyle w:val="ListParagraph"/>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501612"/>
    <w:multiLevelType w:val="multilevel"/>
    <w:tmpl w:val="EAEAA5A0"/>
    <w:styleLink w:val="111111"/>
    <w:lvl w:ilvl="0">
      <w:start w:val="1"/>
      <w:numFmt w:val="decimal"/>
      <w:lvlText w:val="%1"/>
      <w:lvlJc w:val="left"/>
      <w:pPr>
        <w:tabs>
          <w:tab w:val="num" w:pos="432"/>
        </w:tabs>
        <w:ind w:left="432" w:hanging="432"/>
      </w:pPr>
      <w:rPr>
        <w:rFonts w:ascii="Palatino" w:hAnsi="Palatino"/>
        <w:b/>
        <w:sz w:val="32"/>
        <w:szCs w:val="3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3713819"/>
    <w:multiLevelType w:val="multilevel"/>
    <w:tmpl w:val="CF1852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4"/>
  </w:num>
  <w:num w:numId="2">
    <w:abstractNumId w:val="8"/>
  </w:num>
  <w:num w:numId="3">
    <w:abstractNumId w:val="11"/>
  </w:num>
  <w:num w:numId="4">
    <w:abstractNumId w:val="13"/>
  </w:num>
  <w:num w:numId="5">
    <w:abstractNumId w:val="10"/>
  </w:num>
  <w:num w:numId="6">
    <w:abstractNumId w:val="12"/>
  </w:num>
  <w:num w:numId="7">
    <w:abstractNumId w:val="9"/>
  </w:num>
  <w:num w:numId="8">
    <w:abstractNumId w:val="7"/>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activeWritingStyle w:appName="MSWord" w:lang="en-US" w:vendorID="6" w:dllVersion="2" w:checkStyle="1"/>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wMDc1MDc3NDO3MLJU0lEKTi0uzszPAykwrAUAtE6haiwAAAA="/>
  </w:docVars>
  <w:rsids>
    <w:rsidRoot w:val="00725737"/>
    <w:rsid w:val="00003EBF"/>
    <w:rsid w:val="00005B35"/>
    <w:rsid w:val="0001601A"/>
    <w:rsid w:val="000219FF"/>
    <w:rsid w:val="00030C44"/>
    <w:rsid w:val="00031534"/>
    <w:rsid w:val="00032ACE"/>
    <w:rsid w:val="00040471"/>
    <w:rsid w:val="00040A1F"/>
    <w:rsid w:val="00043CCD"/>
    <w:rsid w:val="0004717D"/>
    <w:rsid w:val="00052157"/>
    <w:rsid w:val="00064FEA"/>
    <w:rsid w:val="00070E00"/>
    <w:rsid w:val="00082886"/>
    <w:rsid w:val="00087648"/>
    <w:rsid w:val="00090108"/>
    <w:rsid w:val="0009238E"/>
    <w:rsid w:val="000A3AC5"/>
    <w:rsid w:val="000A7400"/>
    <w:rsid w:val="000B06E2"/>
    <w:rsid w:val="000B7522"/>
    <w:rsid w:val="000C100C"/>
    <w:rsid w:val="000C20F9"/>
    <w:rsid w:val="000C7A5A"/>
    <w:rsid w:val="000E1774"/>
    <w:rsid w:val="000F0033"/>
    <w:rsid w:val="000F0A37"/>
    <w:rsid w:val="000F0CEC"/>
    <w:rsid w:val="000F2C93"/>
    <w:rsid w:val="000F36BC"/>
    <w:rsid w:val="000F7477"/>
    <w:rsid w:val="000F7B35"/>
    <w:rsid w:val="000F7E87"/>
    <w:rsid w:val="00102766"/>
    <w:rsid w:val="00103E98"/>
    <w:rsid w:val="001070E5"/>
    <w:rsid w:val="00111A59"/>
    <w:rsid w:val="00112868"/>
    <w:rsid w:val="001141F6"/>
    <w:rsid w:val="00116300"/>
    <w:rsid w:val="00117742"/>
    <w:rsid w:val="00117CFE"/>
    <w:rsid w:val="00123A47"/>
    <w:rsid w:val="001350C7"/>
    <w:rsid w:val="00141B3B"/>
    <w:rsid w:val="0014478D"/>
    <w:rsid w:val="00150499"/>
    <w:rsid w:val="00150F21"/>
    <w:rsid w:val="001600D9"/>
    <w:rsid w:val="00186178"/>
    <w:rsid w:val="00193E3F"/>
    <w:rsid w:val="001976A9"/>
    <w:rsid w:val="001A0965"/>
    <w:rsid w:val="001A202D"/>
    <w:rsid w:val="001B0CFB"/>
    <w:rsid w:val="001C2CFD"/>
    <w:rsid w:val="001C4A40"/>
    <w:rsid w:val="001C64D4"/>
    <w:rsid w:val="001F0FF1"/>
    <w:rsid w:val="001F394F"/>
    <w:rsid w:val="001F52D8"/>
    <w:rsid w:val="0020125B"/>
    <w:rsid w:val="002020D5"/>
    <w:rsid w:val="00203629"/>
    <w:rsid w:val="0020407F"/>
    <w:rsid w:val="00213FB4"/>
    <w:rsid w:val="00215A0A"/>
    <w:rsid w:val="00225865"/>
    <w:rsid w:val="00225E27"/>
    <w:rsid w:val="00225F6F"/>
    <w:rsid w:val="0024359E"/>
    <w:rsid w:val="00247ABC"/>
    <w:rsid w:val="00251C37"/>
    <w:rsid w:val="00253144"/>
    <w:rsid w:val="00256321"/>
    <w:rsid w:val="0025684C"/>
    <w:rsid w:val="00257C44"/>
    <w:rsid w:val="002618FB"/>
    <w:rsid w:val="0026235E"/>
    <w:rsid w:val="00263CF8"/>
    <w:rsid w:val="002647A5"/>
    <w:rsid w:val="002660E9"/>
    <w:rsid w:val="00273481"/>
    <w:rsid w:val="002953FB"/>
    <w:rsid w:val="002958ED"/>
    <w:rsid w:val="00296535"/>
    <w:rsid w:val="002A440A"/>
    <w:rsid w:val="002A6A99"/>
    <w:rsid w:val="002A794D"/>
    <w:rsid w:val="002B13D8"/>
    <w:rsid w:val="002B1C2F"/>
    <w:rsid w:val="002B3B0C"/>
    <w:rsid w:val="002B3FB4"/>
    <w:rsid w:val="002C6262"/>
    <w:rsid w:val="002C6861"/>
    <w:rsid w:val="002C745A"/>
    <w:rsid w:val="002C783A"/>
    <w:rsid w:val="002D0B8E"/>
    <w:rsid w:val="002D273E"/>
    <w:rsid w:val="002D7178"/>
    <w:rsid w:val="002E7B6F"/>
    <w:rsid w:val="002F5978"/>
    <w:rsid w:val="00301D02"/>
    <w:rsid w:val="00307F28"/>
    <w:rsid w:val="00310F7F"/>
    <w:rsid w:val="00314C06"/>
    <w:rsid w:val="0031613B"/>
    <w:rsid w:val="00327750"/>
    <w:rsid w:val="00335DBB"/>
    <w:rsid w:val="0034660C"/>
    <w:rsid w:val="00367053"/>
    <w:rsid w:val="00367827"/>
    <w:rsid w:val="0037165E"/>
    <w:rsid w:val="00376E9F"/>
    <w:rsid w:val="00386EDA"/>
    <w:rsid w:val="00392FE3"/>
    <w:rsid w:val="003A075F"/>
    <w:rsid w:val="003A7830"/>
    <w:rsid w:val="003A7B62"/>
    <w:rsid w:val="003B2BFB"/>
    <w:rsid w:val="003B4FBA"/>
    <w:rsid w:val="003C289D"/>
    <w:rsid w:val="003C41ED"/>
    <w:rsid w:val="003C496C"/>
    <w:rsid w:val="003D09B1"/>
    <w:rsid w:val="003D199B"/>
    <w:rsid w:val="003D419D"/>
    <w:rsid w:val="003D6A44"/>
    <w:rsid w:val="003D72FB"/>
    <w:rsid w:val="00402F70"/>
    <w:rsid w:val="00404103"/>
    <w:rsid w:val="0040485A"/>
    <w:rsid w:val="00405B6B"/>
    <w:rsid w:val="00414AB0"/>
    <w:rsid w:val="00426087"/>
    <w:rsid w:val="004310A7"/>
    <w:rsid w:val="00431941"/>
    <w:rsid w:val="0043243D"/>
    <w:rsid w:val="00435102"/>
    <w:rsid w:val="00436341"/>
    <w:rsid w:val="00456F0B"/>
    <w:rsid w:val="004618AF"/>
    <w:rsid w:val="004645A1"/>
    <w:rsid w:val="004659D1"/>
    <w:rsid w:val="00465D19"/>
    <w:rsid w:val="00474009"/>
    <w:rsid w:val="0047568D"/>
    <w:rsid w:val="00485B96"/>
    <w:rsid w:val="00487B41"/>
    <w:rsid w:val="00490059"/>
    <w:rsid w:val="00491455"/>
    <w:rsid w:val="00491F31"/>
    <w:rsid w:val="004926DE"/>
    <w:rsid w:val="004942A1"/>
    <w:rsid w:val="004949DD"/>
    <w:rsid w:val="004958E1"/>
    <w:rsid w:val="004A228B"/>
    <w:rsid w:val="004A4DC8"/>
    <w:rsid w:val="004B05AF"/>
    <w:rsid w:val="004B4A7A"/>
    <w:rsid w:val="004C0C4D"/>
    <w:rsid w:val="004C1389"/>
    <w:rsid w:val="004C3112"/>
    <w:rsid w:val="004C5422"/>
    <w:rsid w:val="004D08FC"/>
    <w:rsid w:val="004E00F7"/>
    <w:rsid w:val="004F4D22"/>
    <w:rsid w:val="00502C7A"/>
    <w:rsid w:val="00503384"/>
    <w:rsid w:val="0051789D"/>
    <w:rsid w:val="005275F4"/>
    <w:rsid w:val="00527B5E"/>
    <w:rsid w:val="0053244E"/>
    <w:rsid w:val="005340C5"/>
    <w:rsid w:val="00536B25"/>
    <w:rsid w:val="00547D6C"/>
    <w:rsid w:val="005517AF"/>
    <w:rsid w:val="00556029"/>
    <w:rsid w:val="005607DA"/>
    <w:rsid w:val="00570A08"/>
    <w:rsid w:val="005763A4"/>
    <w:rsid w:val="00581061"/>
    <w:rsid w:val="0058705A"/>
    <w:rsid w:val="00587B60"/>
    <w:rsid w:val="00591582"/>
    <w:rsid w:val="005916D9"/>
    <w:rsid w:val="00592A0D"/>
    <w:rsid w:val="00595FE7"/>
    <w:rsid w:val="00596561"/>
    <w:rsid w:val="005A578E"/>
    <w:rsid w:val="005A7144"/>
    <w:rsid w:val="005B6EE4"/>
    <w:rsid w:val="005B79CC"/>
    <w:rsid w:val="005C1A25"/>
    <w:rsid w:val="005C27A9"/>
    <w:rsid w:val="005C4EC1"/>
    <w:rsid w:val="005E23A9"/>
    <w:rsid w:val="005E2A03"/>
    <w:rsid w:val="005E59E0"/>
    <w:rsid w:val="005F1527"/>
    <w:rsid w:val="006002F7"/>
    <w:rsid w:val="00601113"/>
    <w:rsid w:val="006040CB"/>
    <w:rsid w:val="00610C79"/>
    <w:rsid w:val="00611FBE"/>
    <w:rsid w:val="00616DEC"/>
    <w:rsid w:val="006211D5"/>
    <w:rsid w:val="006226D9"/>
    <w:rsid w:val="00624CB8"/>
    <w:rsid w:val="00640C11"/>
    <w:rsid w:val="00641343"/>
    <w:rsid w:val="00643ABC"/>
    <w:rsid w:val="00645BEB"/>
    <w:rsid w:val="00664242"/>
    <w:rsid w:val="00664291"/>
    <w:rsid w:val="00664B6F"/>
    <w:rsid w:val="0066565D"/>
    <w:rsid w:val="006739C6"/>
    <w:rsid w:val="00675F86"/>
    <w:rsid w:val="00677ED6"/>
    <w:rsid w:val="00680A14"/>
    <w:rsid w:val="00696989"/>
    <w:rsid w:val="00696BD2"/>
    <w:rsid w:val="006971AE"/>
    <w:rsid w:val="006976C7"/>
    <w:rsid w:val="006A311C"/>
    <w:rsid w:val="006A35A9"/>
    <w:rsid w:val="006B4424"/>
    <w:rsid w:val="006C0FF8"/>
    <w:rsid w:val="006C2814"/>
    <w:rsid w:val="006E1CFF"/>
    <w:rsid w:val="006E1E3E"/>
    <w:rsid w:val="006E74E0"/>
    <w:rsid w:val="006F094B"/>
    <w:rsid w:val="006F4788"/>
    <w:rsid w:val="00712D90"/>
    <w:rsid w:val="00720704"/>
    <w:rsid w:val="007229CC"/>
    <w:rsid w:val="00723C94"/>
    <w:rsid w:val="00725737"/>
    <w:rsid w:val="007264E3"/>
    <w:rsid w:val="007439DD"/>
    <w:rsid w:val="0074637A"/>
    <w:rsid w:val="007532DA"/>
    <w:rsid w:val="007626EB"/>
    <w:rsid w:val="00764D8B"/>
    <w:rsid w:val="00766F56"/>
    <w:rsid w:val="0077548B"/>
    <w:rsid w:val="00784480"/>
    <w:rsid w:val="0079027D"/>
    <w:rsid w:val="007909ED"/>
    <w:rsid w:val="00792DCA"/>
    <w:rsid w:val="007940FE"/>
    <w:rsid w:val="007A20B0"/>
    <w:rsid w:val="007A4893"/>
    <w:rsid w:val="007A4EA6"/>
    <w:rsid w:val="007B3C05"/>
    <w:rsid w:val="007D5D16"/>
    <w:rsid w:val="007D5F62"/>
    <w:rsid w:val="007E1BD3"/>
    <w:rsid w:val="007F10B4"/>
    <w:rsid w:val="007F627C"/>
    <w:rsid w:val="00807B73"/>
    <w:rsid w:val="008127E6"/>
    <w:rsid w:val="00814C47"/>
    <w:rsid w:val="00820571"/>
    <w:rsid w:val="0083481E"/>
    <w:rsid w:val="00834E4F"/>
    <w:rsid w:val="008439E7"/>
    <w:rsid w:val="00852CC8"/>
    <w:rsid w:val="00853341"/>
    <w:rsid w:val="00853766"/>
    <w:rsid w:val="0085781A"/>
    <w:rsid w:val="00860C6C"/>
    <w:rsid w:val="008610D3"/>
    <w:rsid w:val="00865C75"/>
    <w:rsid w:val="008666C4"/>
    <w:rsid w:val="008712C7"/>
    <w:rsid w:val="00876132"/>
    <w:rsid w:val="008808FA"/>
    <w:rsid w:val="0089113C"/>
    <w:rsid w:val="00891BD8"/>
    <w:rsid w:val="00897B21"/>
    <w:rsid w:val="008A3050"/>
    <w:rsid w:val="008A3B94"/>
    <w:rsid w:val="008A56A4"/>
    <w:rsid w:val="008B0257"/>
    <w:rsid w:val="008C2BDA"/>
    <w:rsid w:val="008C779A"/>
    <w:rsid w:val="008D0468"/>
    <w:rsid w:val="008D2166"/>
    <w:rsid w:val="008D3305"/>
    <w:rsid w:val="008D3598"/>
    <w:rsid w:val="008D6C72"/>
    <w:rsid w:val="008E5189"/>
    <w:rsid w:val="008E74E9"/>
    <w:rsid w:val="008F23A6"/>
    <w:rsid w:val="008F25A0"/>
    <w:rsid w:val="008F78BF"/>
    <w:rsid w:val="00910EB7"/>
    <w:rsid w:val="00914769"/>
    <w:rsid w:val="00920726"/>
    <w:rsid w:val="00936A70"/>
    <w:rsid w:val="00943348"/>
    <w:rsid w:val="00943D55"/>
    <w:rsid w:val="00944F18"/>
    <w:rsid w:val="009514BD"/>
    <w:rsid w:val="009553F3"/>
    <w:rsid w:val="009617D9"/>
    <w:rsid w:val="0096541C"/>
    <w:rsid w:val="00976CC1"/>
    <w:rsid w:val="00977DA6"/>
    <w:rsid w:val="00990D05"/>
    <w:rsid w:val="009958D2"/>
    <w:rsid w:val="009A5698"/>
    <w:rsid w:val="009B19A8"/>
    <w:rsid w:val="009B554A"/>
    <w:rsid w:val="009C2146"/>
    <w:rsid w:val="009D7FE2"/>
    <w:rsid w:val="009E085A"/>
    <w:rsid w:val="009E78DE"/>
    <w:rsid w:val="009F2C5E"/>
    <w:rsid w:val="00A100B0"/>
    <w:rsid w:val="00A1225C"/>
    <w:rsid w:val="00A235DE"/>
    <w:rsid w:val="00A25748"/>
    <w:rsid w:val="00A27BF7"/>
    <w:rsid w:val="00A360F5"/>
    <w:rsid w:val="00A41E0C"/>
    <w:rsid w:val="00A44E17"/>
    <w:rsid w:val="00A462D3"/>
    <w:rsid w:val="00A4777C"/>
    <w:rsid w:val="00A50AB6"/>
    <w:rsid w:val="00A519B0"/>
    <w:rsid w:val="00A51FE0"/>
    <w:rsid w:val="00A5761F"/>
    <w:rsid w:val="00A60CEC"/>
    <w:rsid w:val="00A625F8"/>
    <w:rsid w:val="00A65063"/>
    <w:rsid w:val="00A7336F"/>
    <w:rsid w:val="00AA0271"/>
    <w:rsid w:val="00AA4072"/>
    <w:rsid w:val="00AA75C1"/>
    <w:rsid w:val="00AB4C0F"/>
    <w:rsid w:val="00AC4D6B"/>
    <w:rsid w:val="00AD677E"/>
    <w:rsid w:val="00AD6CA5"/>
    <w:rsid w:val="00AE5CE0"/>
    <w:rsid w:val="00AF0903"/>
    <w:rsid w:val="00AF4BB1"/>
    <w:rsid w:val="00B02860"/>
    <w:rsid w:val="00B02B89"/>
    <w:rsid w:val="00B06FD1"/>
    <w:rsid w:val="00B102CB"/>
    <w:rsid w:val="00B12505"/>
    <w:rsid w:val="00B22981"/>
    <w:rsid w:val="00B46E5E"/>
    <w:rsid w:val="00B51AB2"/>
    <w:rsid w:val="00B52955"/>
    <w:rsid w:val="00B53FEE"/>
    <w:rsid w:val="00B57BE8"/>
    <w:rsid w:val="00B7082E"/>
    <w:rsid w:val="00B71359"/>
    <w:rsid w:val="00B80D34"/>
    <w:rsid w:val="00B82BC8"/>
    <w:rsid w:val="00B8349B"/>
    <w:rsid w:val="00B83C86"/>
    <w:rsid w:val="00B85225"/>
    <w:rsid w:val="00B85786"/>
    <w:rsid w:val="00B85812"/>
    <w:rsid w:val="00B85872"/>
    <w:rsid w:val="00B93AA2"/>
    <w:rsid w:val="00B9578B"/>
    <w:rsid w:val="00B97828"/>
    <w:rsid w:val="00B97FF0"/>
    <w:rsid w:val="00BA060E"/>
    <w:rsid w:val="00BA1813"/>
    <w:rsid w:val="00BA4361"/>
    <w:rsid w:val="00BA6B46"/>
    <w:rsid w:val="00BA6B57"/>
    <w:rsid w:val="00BB26EA"/>
    <w:rsid w:val="00BB584D"/>
    <w:rsid w:val="00BC3920"/>
    <w:rsid w:val="00BC3ABB"/>
    <w:rsid w:val="00BC45DF"/>
    <w:rsid w:val="00BC631D"/>
    <w:rsid w:val="00BD0E3B"/>
    <w:rsid w:val="00BD1DF1"/>
    <w:rsid w:val="00BD3537"/>
    <w:rsid w:val="00BD3B5C"/>
    <w:rsid w:val="00BE0CEA"/>
    <w:rsid w:val="00BE3A86"/>
    <w:rsid w:val="00BE4E86"/>
    <w:rsid w:val="00BF6EDB"/>
    <w:rsid w:val="00C018D4"/>
    <w:rsid w:val="00C064E8"/>
    <w:rsid w:val="00C07FFC"/>
    <w:rsid w:val="00C13A48"/>
    <w:rsid w:val="00C16B22"/>
    <w:rsid w:val="00C20038"/>
    <w:rsid w:val="00C212FE"/>
    <w:rsid w:val="00C26BE5"/>
    <w:rsid w:val="00C30F85"/>
    <w:rsid w:val="00C351F8"/>
    <w:rsid w:val="00C441D6"/>
    <w:rsid w:val="00C557AD"/>
    <w:rsid w:val="00C5601A"/>
    <w:rsid w:val="00C60207"/>
    <w:rsid w:val="00C804A3"/>
    <w:rsid w:val="00C861FD"/>
    <w:rsid w:val="00C86CA7"/>
    <w:rsid w:val="00C91CC9"/>
    <w:rsid w:val="00C944BB"/>
    <w:rsid w:val="00C95EA7"/>
    <w:rsid w:val="00CA3B6D"/>
    <w:rsid w:val="00CA450F"/>
    <w:rsid w:val="00CB4AB4"/>
    <w:rsid w:val="00CB5061"/>
    <w:rsid w:val="00CB5C31"/>
    <w:rsid w:val="00CC3C30"/>
    <w:rsid w:val="00CD05A6"/>
    <w:rsid w:val="00CD0973"/>
    <w:rsid w:val="00CD1573"/>
    <w:rsid w:val="00CD48B1"/>
    <w:rsid w:val="00CD7A36"/>
    <w:rsid w:val="00CE222E"/>
    <w:rsid w:val="00CE465B"/>
    <w:rsid w:val="00CE5EBC"/>
    <w:rsid w:val="00CF19EE"/>
    <w:rsid w:val="00D00109"/>
    <w:rsid w:val="00D018FE"/>
    <w:rsid w:val="00D01E01"/>
    <w:rsid w:val="00D05194"/>
    <w:rsid w:val="00D0592F"/>
    <w:rsid w:val="00D066C5"/>
    <w:rsid w:val="00D207FE"/>
    <w:rsid w:val="00D257CB"/>
    <w:rsid w:val="00D30307"/>
    <w:rsid w:val="00D31D23"/>
    <w:rsid w:val="00D41826"/>
    <w:rsid w:val="00D52F87"/>
    <w:rsid w:val="00D656D5"/>
    <w:rsid w:val="00D67C37"/>
    <w:rsid w:val="00D7534C"/>
    <w:rsid w:val="00D81154"/>
    <w:rsid w:val="00D83F40"/>
    <w:rsid w:val="00D874FA"/>
    <w:rsid w:val="00D90BF4"/>
    <w:rsid w:val="00DB69D0"/>
    <w:rsid w:val="00DB7C4E"/>
    <w:rsid w:val="00DC5642"/>
    <w:rsid w:val="00DD032E"/>
    <w:rsid w:val="00DE1AD9"/>
    <w:rsid w:val="00DF4357"/>
    <w:rsid w:val="00DF6164"/>
    <w:rsid w:val="00DF73A3"/>
    <w:rsid w:val="00E02AE7"/>
    <w:rsid w:val="00E04B95"/>
    <w:rsid w:val="00E1643A"/>
    <w:rsid w:val="00E16FA2"/>
    <w:rsid w:val="00E31A6C"/>
    <w:rsid w:val="00E339CA"/>
    <w:rsid w:val="00E40369"/>
    <w:rsid w:val="00E444C4"/>
    <w:rsid w:val="00E54A44"/>
    <w:rsid w:val="00E619E7"/>
    <w:rsid w:val="00E660D0"/>
    <w:rsid w:val="00E665B2"/>
    <w:rsid w:val="00E80EB8"/>
    <w:rsid w:val="00E84FC6"/>
    <w:rsid w:val="00E87D02"/>
    <w:rsid w:val="00E9045D"/>
    <w:rsid w:val="00E936E7"/>
    <w:rsid w:val="00E93E13"/>
    <w:rsid w:val="00EA2633"/>
    <w:rsid w:val="00EB144B"/>
    <w:rsid w:val="00EC22C8"/>
    <w:rsid w:val="00ED33B2"/>
    <w:rsid w:val="00ED5218"/>
    <w:rsid w:val="00EE5E45"/>
    <w:rsid w:val="00EE6BA6"/>
    <w:rsid w:val="00EF3342"/>
    <w:rsid w:val="00EF434C"/>
    <w:rsid w:val="00EF4EF0"/>
    <w:rsid w:val="00EF7D03"/>
    <w:rsid w:val="00F012DC"/>
    <w:rsid w:val="00F03A17"/>
    <w:rsid w:val="00F04EB6"/>
    <w:rsid w:val="00F10B2B"/>
    <w:rsid w:val="00F115F9"/>
    <w:rsid w:val="00F13BD6"/>
    <w:rsid w:val="00F14A68"/>
    <w:rsid w:val="00F17119"/>
    <w:rsid w:val="00F21224"/>
    <w:rsid w:val="00F23B4B"/>
    <w:rsid w:val="00F25FC8"/>
    <w:rsid w:val="00F32C7F"/>
    <w:rsid w:val="00F331BE"/>
    <w:rsid w:val="00F4001E"/>
    <w:rsid w:val="00F407C6"/>
    <w:rsid w:val="00F46589"/>
    <w:rsid w:val="00F611A7"/>
    <w:rsid w:val="00F639CA"/>
    <w:rsid w:val="00F64584"/>
    <w:rsid w:val="00F65220"/>
    <w:rsid w:val="00F66EC6"/>
    <w:rsid w:val="00F679C5"/>
    <w:rsid w:val="00F71FC2"/>
    <w:rsid w:val="00F7489B"/>
    <w:rsid w:val="00F80DD9"/>
    <w:rsid w:val="00F83A8A"/>
    <w:rsid w:val="00F865C1"/>
    <w:rsid w:val="00F874FA"/>
    <w:rsid w:val="00FA2DF5"/>
    <w:rsid w:val="00FA46DF"/>
    <w:rsid w:val="00FA4EFE"/>
    <w:rsid w:val="00FB42A9"/>
    <w:rsid w:val="00FB544A"/>
    <w:rsid w:val="00FC51F4"/>
    <w:rsid w:val="00FC5EF7"/>
    <w:rsid w:val="00FD78FA"/>
    <w:rsid w:val="00FE17D8"/>
    <w:rsid w:val="00FE21A8"/>
    <w:rsid w:val="00FE3EAE"/>
    <w:rsid w:val="00FF2CFB"/>
    <w:rsid w:val="00FF5F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A732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w:hAnsi="Courier"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MPI Normal"/>
    <w:qFormat/>
    <w:rsid w:val="00F13BD6"/>
    <w:pPr>
      <w:spacing w:line="300" w:lineRule="exact"/>
    </w:pPr>
    <w:rPr>
      <w:rFonts w:asciiTheme="majorHAnsi" w:hAnsiTheme="majorHAnsi"/>
      <w:sz w:val="22"/>
      <w:szCs w:val="24"/>
    </w:rPr>
  </w:style>
  <w:style w:type="paragraph" w:styleId="Heading1">
    <w:name w:val="heading 1"/>
    <w:aliases w:val="MPI Header,Head 1WMEP"/>
    <w:basedOn w:val="Normal"/>
    <w:next w:val="Normal"/>
    <w:link w:val="Heading1Char"/>
    <w:qFormat/>
    <w:rsid w:val="006040CB"/>
    <w:pPr>
      <w:keepNext/>
      <w:jc w:val="center"/>
      <w:outlineLvl w:val="0"/>
    </w:pPr>
    <w:rPr>
      <w:b/>
    </w:rPr>
  </w:style>
  <w:style w:type="paragraph" w:styleId="Heading2">
    <w:name w:val="heading 2"/>
    <w:basedOn w:val="Normal"/>
    <w:next w:val="Normal"/>
    <w:link w:val="Heading2Char"/>
    <w:qFormat/>
    <w:rsid w:val="0026235E"/>
    <w:pPr>
      <w:keepNext/>
      <w:outlineLvl w:val="1"/>
    </w:pPr>
    <w:rPr>
      <w:rFonts w:ascii="Arial" w:hAnsi="Arial"/>
      <w:b/>
    </w:rPr>
  </w:style>
  <w:style w:type="paragraph" w:styleId="Heading3">
    <w:name w:val="heading 3"/>
    <w:basedOn w:val="Normal"/>
    <w:next w:val="Normal"/>
    <w:link w:val="Heading3Char"/>
    <w:qFormat/>
    <w:rsid w:val="009D55D0"/>
    <w:pPr>
      <w:keepNext/>
      <w:spacing w:line="240" w:lineRule="auto"/>
      <w:jc w:val="center"/>
      <w:outlineLvl w:val="2"/>
    </w:pPr>
    <w:rPr>
      <w:rFonts w:ascii="Helvetica" w:hAnsi="Helvetica"/>
      <w:b/>
      <w:sz w:val="18"/>
    </w:rPr>
  </w:style>
  <w:style w:type="paragraph" w:styleId="Heading4">
    <w:name w:val="heading 4"/>
    <w:basedOn w:val="Normal"/>
    <w:next w:val="Normal"/>
    <w:link w:val="Heading4Char"/>
    <w:qFormat/>
    <w:rsid w:val="009F4C01"/>
    <w:pPr>
      <w:keepNext/>
      <w:spacing w:before="240" w:after="60"/>
      <w:outlineLvl w:val="3"/>
    </w:pPr>
    <w:rPr>
      <w:rFonts w:ascii="Cambria" w:eastAsia="Times New Roman" w:hAnsi="Cambria"/>
      <w:b/>
      <w:bCs/>
      <w:sz w:val="28"/>
      <w:szCs w:val="28"/>
    </w:rPr>
  </w:style>
  <w:style w:type="paragraph" w:styleId="Heading5">
    <w:name w:val="heading 5"/>
    <w:basedOn w:val="Normal"/>
    <w:next w:val="Normal"/>
    <w:link w:val="Heading5Char"/>
    <w:qFormat/>
    <w:rsid w:val="0009238E"/>
    <w:pPr>
      <w:tabs>
        <w:tab w:val="num" w:pos="1008"/>
      </w:tabs>
      <w:spacing w:before="240" w:after="60" w:line="240" w:lineRule="auto"/>
      <w:ind w:left="1008" w:hanging="1008"/>
      <w:outlineLvl w:val="4"/>
    </w:pPr>
    <w:rPr>
      <w:rFonts w:ascii="Times New Roman" w:eastAsia="Times New Roman" w:hAnsi="Times New Roman"/>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rsid w:val="00316215"/>
    <w:rPr>
      <w:rFonts w:ascii="Tahoma" w:eastAsia="Times New Roman" w:hAnsi="Tahoma"/>
      <w:sz w:val="16"/>
    </w:rPr>
  </w:style>
  <w:style w:type="character" w:customStyle="1" w:styleId="BalloonTextChar">
    <w:name w:val="Balloon Text Char"/>
    <w:basedOn w:val="DefaultParagraphFont"/>
    <w:uiPriority w:val="99"/>
    <w:semiHidden/>
    <w:rsid w:val="00660836"/>
    <w:rPr>
      <w:rFonts w:ascii="Lucida Grande" w:hAnsi="Lucida Grande" w:cs="Lucida Grande"/>
      <w:sz w:val="18"/>
      <w:szCs w:val="18"/>
    </w:rPr>
  </w:style>
  <w:style w:type="character" w:customStyle="1" w:styleId="Heading1Char">
    <w:name w:val="Heading 1 Char"/>
    <w:aliases w:val="MPI Header Char,Head 1WMEP Char"/>
    <w:link w:val="Heading1"/>
    <w:rsid w:val="006040CB"/>
    <w:rPr>
      <w:rFonts w:asciiTheme="majorHAnsi" w:hAnsiTheme="majorHAnsi"/>
      <w:b/>
      <w:sz w:val="24"/>
      <w:szCs w:val="24"/>
    </w:rPr>
  </w:style>
  <w:style w:type="character" w:customStyle="1" w:styleId="Heading2Char">
    <w:name w:val="Heading 2 Char"/>
    <w:link w:val="Heading2"/>
    <w:rsid w:val="0026235E"/>
    <w:rPr>
      <w:rFonts w:ascii="Arial" w:hAnsi="Arial"/>
      <w:b/>
      <w:sz w:val="22"/>
      <w:szCs w:val="24"/>
    </w:rPr>
  </w:style>
  <w:style w:type="character" w:customStyle="1" w:styleId="Heading3Char">
    <w:name w:val="Heading 3 Char"/>
    <w:link w:val="Heading3"/>
    <w:rsid w:val="009F4C01"/>
    <w:rPr>
      <w:rFonts w:ascii="Helvetica" w:hAnsi="Helvetica"/>
      <w:b/>
      <w:sz w:val="18"/>
      <w:szCs w:val="24"/>
    </w:rPr>
  </w:style>
  <w:style w:type="character" w:customStyle="1" w:styleId="Heading4Char">
    <w:name w:val="Heading 4 Char"/>
    <w:link w:val="Heading4"/>
    <w:rsid w:val="009F4C01"/>
    <w:rPr>
      <w:rFonts w:ascii="Cambria" w:eastAsia="Times New Roman" w:hAnsi="Cambria" w:cs="Times New Roman"/>
      <w:b/>
      <w:bCs/>
      <w:sz w:val="28"/>
      <w:szCs w:val="28"/>
    </w:rPr>
  </w:style>
  <w:style w:type="character" w:customStyle="1" w:styleId="BalloonTextChar2">
    <w:name w:val="Balloon Text Char2"/>
    <w:link w:val="BalloonText"/>
    <w:rsid w:val="009F4C01"/>
    <w:rPr>
      <w:rFonts w:ascii="Tahoma" w:eastAsia="Times New Roman" w:hAnsi="Tahoma"/>
      <w:sz w:val="16"/>
      <w:szCs w:val="24"/>
    </w:rPr>
  </w:style>
  <w:style w:type="character" w:customStyle="1" w:styleId="BalloonTextChar0">
    <w:name w:val="Balloon Text Char"/>
    <w:uiPriority w:val="99"/>
    <w:semiHidden/>
    <w:rsid w:val="00017E55"/>
    <w:rPr>
      <w:rFonts w:ascii="Lucida Grande" w:hAnsi="Lucida Grande"/>
      <w:sz w:val="18"/>
      <w:szCs w:val="18"/>
    </w:rPr>
  </w:style>
  <w:style w:type="character" w:customStyle="1" w:styleId="BalloonTextChar1">
    <w:name w:val="Balloon Text Char"/>
    <w:uiPriority w:val="99"/>
    <w:semiHidden/>
    <w:rsid w:val="00D8690A"/>
    <w:rPr>
      <w:rFonts w:ascii="Lucida Grande" w:hAnsi="Lucida Grande"/>
      <w:sz w:val="18"/>
      <w:szCs w:val="18"/>
    </w:rPr>
  </w:style>
  <w:style w:type="character" w:customStyle="1" w:styleId="BalloonTextChar3">
    <w:name w:val="Balloon Text Char"/>
    <w:uiPriority w:val="99"/>
    <w:semiHidden/>
    <w:rsid w:val="00452CD8"/>
    <w:rPr>
      <w:rFonts w:ascii="Lucida Grande" w:hAnsi="Lucida Grande"/>
      <w:sz w:val="18"/>
      <w:szCs w:val="18"/>
    </w:rPr>
  </w:style>
  <w:style w:type="character" w:customStyle="1" w:styleId="BalloonTextChar4">
    <w:name w:val="Balloon Text Char"/>
    <w:uiPriority w:val="99"/>
    <w:rsid w:val="00D06571"/>
    <w:rPr>
      <w:rFonts w:ascii="Lucida Grande" w:hAnsi="Lucida Grande"/>
      <w:sz w:val="18"/>
      <w:szCs w:val="18"/>
    </w:rPr>
  </w:style>
  <w:style w:type="paragraph" w:styleId="Footer">
    <w:name w:val="footer"/>
    <w:basedOn w:val="Normal"/>
    <w:link w:val="FooterChar"/>
    <w:uiPriority w:val="99"/>
    <w:rsid w:val="00316215"/>
    <w:pPr>
      <w:tabs>
        <w:tab w:val="center" w:pos="4320"/>
        <w:tab w:val="right" w:pos="8640"/>
      </w:tabs>
    </w:pPr>
    <w:rPr>
      <w:rFonts w:ascii="Helvetica" w:hAnsi="Helvetica"/>
    </w:rPr>
  </w:style>
  <w:style w:type="character" w:customStyle="1" w:styleId="FooterChar">
    <w:name w:val="Footer Char"/>
    <w:link w:val="Footer"/>
    <w:uiPriority w:val="99"/>
    <w:rsid w:val="00F90147"/>
    <w:rPr>
      <w:rFonts w:ascii="Helvetica" w:hAnsi="Helvetica"/>
      <w:szCs w:val="24"/>
    </w:rPr>
  </w:style>
  <w:style w:type="character" w:styleId="PageNumber">
    <w:name w:val="page number"/>
    <w:basedOn w:val="DefaultParagraphFont"/>
    <w:uiPriority w:val="99"/>
    <w:rsid w:val="00316215"/>
  </w:style>
  <w:style w:type="paragraph" w:styleId="BodyText">
    <w:name w:val="Body Text"/>
    <w:basedOn w:val="Normal"/>
    <w:link w:val="BodyTextChar"/>
    <w:rsid w:val="00316215"/>
    <w:pPr>
      <w:spacing w:after="120"/>
    </w:pPr>
    <w:rPr>
      <w:rFonts w:ascii="Bell MT" w:eastAsia="Times New Roman" w:hAnsi="Bell MT"/>
    </w:rPr>
  </w:style>
  <w:style w:type="character" w:customStyle="1" w:styleId="BodyTextChar">
    <w:name w:val="Body Text Char"/>
    <w:link w:val="BodyText"/>
    <w:rsid w:val="009F4C01"/>
    <w:rPr>
      <w:rFonts w:ascii="Bell MT" w:eastAsia="Times New Roman" w:hAnsi="Bell MT"/>
      <w:sz w:val="22"/>
      <w:szCs w:val="24"/>
    </w:rPr>
  </w:style>
  <w:style w:type="paragraph" w:styleId="Header">
    <w:name w:val="header"/>
    <w:basedOn w:val="Normal"/>
    <w:link w:val="HeaderChar"/>
    <w:uiPriority w:val="99"/>
    <w:rsid w:val="00316215"/>
    <w:pPr>
      <w:tabs>
        <w:tab w:val="center" w:pos="4320"/>
        <w:tab w:val="right" w:pos="8640"/>
      </w:tabs>
    </w:pPr>
    <w:rPr>
      <w:rFonts w:ascii="Times" w:hAnsi="Times"/>
      <w:szCs w:val="20"/>
    </w:rPr>
  </w:style>
  <w:style w:type="character" w:customStyle="1" w:styleId="HeaderChar">
    <w:name w:val="Header Char"/>
    <w:link w:val="Header"/>
    <w:uiPriority w:val="99"/>
    <w:rsid w:val="00033E49"/>
    <w:rPr>
      <w:rFonts w:ascii="Times" w:hAnsi="Times"/>
      <w:sz w:val="24"/>
    </w:rPr>
  </w:style>
  <w:style w:type="character" w:customStyle="1" w:styleId="bluetext">
    <w:name w:val="blue text"/>
    <w:rsid w:val="00316215"/>
    <w:rPr>
      <w:color w:val="5672AA"/>
    </w:rPr>
  </w:style>
  <w:style w:type="character" w:customStyle="1" w:styleId="Footer1">
    <w:name w:val="Footer1"/>
    <w:rsid w:val="00316215"/>
    <w:rPr>
      <w:rFonts w:ascii="Century Gothic" w:hAnsi="Century Gothic" w:cs="Arial"/>
      <w:sz w:val="16"/>
      <w:szCs w:val="16"/>
    </w:rPr>
  </w:style>
  <w:style w:type="paragraph" w:customStyle="1" w:styleId="proposalforservices">
    <w:name w:val="proposal for services"/>
    <w:basedOn w:val="Normal"/>
    <w:rsid w:val="00316215"/>
    <w:rPr>
      <w:rFonts w:ascii="Century Gothic" w:eastAsia="Times New Roman" w:hAnsi="Century Gothic"/>
      <w:sz w:val="56"/>
    </w:rPr>
  </w:style>
  <w:style w:type="paragraph" w:customStyle="1" w:styleId="proposalname">
    <w:name w:val="proposal name"/>
    <w:basedOn w:val="Normal"/>
    <w:rsid w:val="00316215"/>
    <w:pPr>
      <w:tabs>
        <w:tab w:val="left" w:pos="1440"/>
      </w:tabs>
      <w:spacing w:after="240"/>
      <w:ind w:left="1440" w:hanging="1440"/>
    </w:pPr>
    <w:rPr>
      <w:rFonts w:ascii="Century Gothic" w:eastAsia="Times New Roman" w:hAnsi="Century Gothic"/>
      <w:color w:val="808080"/>
      <w:sz w:val="56"/>
    </w:rPr>
  </w:style>
  <w:style w:type="character" w:customStyle="1" w:styleId="Header1">
    <w:name w:val="Header1"/>
    <w:rsid w:val="00316215"/>
    <w:rPr>
      <w:rFonts w:ascii="Century Gothic" w:hAnsi="Century Gothic"/>
      <w:color w:val="808080"/>
      <w:sz w:val="18"/>
      <w:szCs w:val="18"/>
    </w:rPr>
  </w:style>
  <w:style w:type="character" w:customStyle="1" w:styleId="PageNumber1">
    <w:name w:val="Page Number1"/>
    <w:rsid w:val="00316215"/>
    <w:rPr>
      <w:rFonts w:ascii="Century Gothic" w:hAnsi="Century Gothic"/>
      <w:b/>
      <w:sz w:val="18"/>
    </w:rPr>
  </w:style>
  <w:style w:type="character" w:customStyle="1" w:styleId="preparedfor">
    <w:name w:val="prepared for"/>
    <w:rsid w:val="00316215"/>
    <w:rPr>
      <w:rFonts w:ascii="Century Gothic" w:hAnsi="Century Gothic"/>
      <w:color w:val="808080"/>
      <w:sz w:val="28"/>
      <w:szCs w:val="28"/>
    </w:rPr>
  </w:style>
  <w:style w:type="character" w:customStyle="1" w:styleId="assocname">
    <w:name w:val="assoc name"/>
    <w:rsid w:val="00316215"/>
    <w:rPr>
      <w:rFonts w:ascii="Century Gothic" w:hAnsi="Century Gothic"/>
      <w:b/>
      <w:bCs/>
      <w:color w:val="808080"/>
      <w:sz w:val="24"/>
    </w:rPr>
  </w:style>
  <w:style w:type="character" w:customStyle="1" w:styleId="assocaddr">
    <w:name w:val="assoc addr"/>
    <w:rsid w:val="00316215"/>
    <w:rPr>
      <w:rFonts w:ascii="Century Gothic" w:hAnsi="Century Gothic"/>
    </w:rPr>
  </w:style>
  <w:style w:type="character" w:customStyle="1" w:styleId="footnote">
    <w:name w:val="footnote"/>
    <w:rsid w:val="00316215"/>
    <w:rPr>
      <w:sz w:val="18"/>
      <w:szCs w:val="18"/>
    </w:rPr>
  </w:style>
  <w:style w:type="paragraph" w:customStyle="1" w:styleId="n">
    <w:name w:val="n"/>
    <w:basedOn w:val="Normal"/>
    <w:rsid w:val="00316215"/>
    <w:pPr>
      <w:pBdr>
        <w:left w:val="single" w:sz="24" w:space="4" w:color="5672AA"/>
      </w:pBdr>
      <w:tabs>
        <w:tab w:val="left" w:pos="1080"/>
        <w:tab w:val="num" w:pos="2160"/>
      </w:tabs>
      <w:spacing w:after="240"/>
      <w:ind w:left="2160" w:hanging="360"/>
    </w:pPr>
    <w:rPr>
      <w:rFonts w:ascii="Bell MT" w:eastAsia="Times New Roman" w:hAnsi="Bell MT"/>
    </w:rPr>
  </w:style>
  <w:style w:type="paragraph" w:customStyle="1" w:styleId="numberedlist">
    <w:name w:val="numbered list"/>
    <w:basedOn w:val="n"/>
    <w:rsid w:val="00316215"/>
    <w:pPr>
      <w:keepLines/>
      <w:pBdr>
        <w:left w:val="single" w:sz="48" w:space="3" w:color="FFFFFF"/>
        <w:bottom w:val="single" w:sz="48" w:space="3" w:color="FFFFFF"/>
      </w:pBdr>
      <w:tabs>
        <w:tab w:val="clear" w:pos="1080"/>
        <w:tab w:val="clear" w:pos="2160"/>
        <w:tab w:val="left" w:pos="720"/>
        <w:tab w:val="left" w:pos="1440"/>
      </w:tabs>
      <w:spacing w:after="160" w:line="220" w:lineRule="atLeast"/>
      <w:ind w:left="720"/>
    </w:pPr>
    <w:rPr>
      <w:rFonts w:ascii="Arial Narrow" w:hAnsi="Arial Narrow"/>
      <w:i/>
      <w:color w:val="9B8663"/>
    </w:rPr>
  </w:style>
  <w:style w:type="paragraph" w:customStyle="1" w:styleId="BodyTextKeep">
    <w:name w:val="Body Text Keep"/>
    <w:basedOn w:val="BodyText"/>
    <w:rsid w:val="00316215"/>
    <w:pPr>
      <w:keepNext/>
      <w:spacing w:after="220" w:line="220" w:lineRule="atLeast"/>
      <w:ind w:left="1080"/>
    </w:pPr>
    <w:rPr>
      <w:rFonts w:ascii="Times New Roman" w:hAnsi="Times New Roman"/>
    </w:rPr>
  </w:style>
  <w:style w:type="paragraph" w:customStyle="1" w:styleId="Picture">
    <w:name w:val="Picture"/>
    <w:basedOn w:val="Normal"/>
    <w:next w:val="Caption"/>
    <w:rsid w:val="00316215"/>
    <w:pPr>
      <w:keepNext/>
      <w:ind w:left="1080"/>
    </w:pPr>
    <w:rPr>
      <w:rFonts w:ascii="Times New Roman" w:eastAsia="Times New Roman" w:hAnsi="Times New Roman"/>
    </w:rPr>
  </w:style>
  <w:style w:type="paragraph" w:styleId="Caption">
    <w:name w:val="caption"/>
    <w:basedOn w:val="Normal"/>
    <w:next w:val="Normal"/>
    <w:qFormat/>
    <w:rsid w:val="00316215"/>
    <w:rPr>
      <w:rFonts w:ascii="Bell MT" w:eastAsia="Times New Roman" w:hAnsi="Bell MT"/>
      <w:b/>
    </w:rPr>
  </w:style>
  <w:style w:type="paragraph" w:styleId="DocumentMap">
    <w:name w:val="Document Map"/>
    <w:basedOn w:val="Normal"/>
    <w:semiHidden/>
    <w:rsid w:val="00316215"/>
    <w:pPr>
      <w:shd w:val="clear" w:color="auto" w:fill="000080"/>
    </w:pPr>
    <w:rPr>
      <w:rFonts w:eastAsia="MS Gothic"/>
    </w:rPr>
  </w:style>
  <w:style w:type="paragraph" w:styleId="BodyText2">
    <w:name w:val="Body Text 2"/>
    <w:basedOn w:val="Normal"/>
    <w:semiHidden/>
    <w:rsid w:val="00316215"/>
    <w:pPr>
      <w:tabs>
        <w:tab w:val="left" w:pos="0"/>
        <w:tab w:val="left" w:pos="3600"/>
      </w:tabs>
      <w:jc w:val="both"/>
    </w:pPr>
    <w:rPr>
      <w:sz w:val="16"/>
    </w:rPr>
  </w:style>
  <w:style w:type="character" w:styleId="Hyperlink">
    <w:name w:val="Hyperlink"/>
    <w:uiPriority w:val="99"/>
    <w:rsid w:val="00316215"/>
    <w:rPr>
      <w:color w:val="0000FF"/>
      <w:u w:val="single"/>
    </w:rPr>
  </w:style>
  <w:style w:type="paragraph" w:customStyle="1" w:styleId="MediumGrid21">
    <w:name w:val="Medium Grid 21"/>
    <w:link w:val="MediumGrid2Char"/>
    <w:uiPriority w:val="1"/>
    <w:qFormat/>
    <w:rsid w:val="009770BB"/>
    <w:rPr>
      <w:rFonts w:ascii="Calibri" w:eastAsia="Times New Roman" w:hAnsi="Calibri"/>
      <w:sz w:val="22"/>
      <w:szCs w:val="22"/>
    </w:rPr>
  </w:style>
  <w:style w:type="character" w:customStyle="1" w:styleId="MediumGrid2Char">
    <w:name w:val="Medium Grid 2 Char"/>
    <w:link w:val="MediumGrid21"/>
    <w:uiPriority w:val="1"/>
    <w:rsid w:val="009770BB"/>
    <w:rPr>
      <w:rFonts w:ascii="Calibri" w:eastAsia="Times New Roman" w:hAnsi="Calibri"/>
      <w:sz w:val="22"/>
      <w:szCs w:val="22"/>
      <w:lang w:val="fr-FR" w:eastAsia="en-US" w:bidi="ar-SA"/>
    </w:rPr>
  </w:style>
  <w:style w:type="paragraph" w:customStyle="1" w:styleId="ColorfulList-Accent11">
    <w:name w:val="Colorful List - Accent 11"/>
    <w:basedOn w:val="Normal"/>
    <w:rsid w:val="00AA46C4"/>
    <w:pPr>
      <w:ind w:left="720"/>
      <w:contextualSpacing/>
    </w:pPr>
  </w:style>
  <w:style w:type="paragraph" w:customStyle="1" w:styleId="MPInormal">
    <w:name w:val="MPI normal"/>
    <w:basedOn w:val="Normal"/>
    <w:qFormat/>
    <w:rsid w:val="00AB195B"/>
  </w:style>
  <w:style w:type="paragraph" w:customStyle="1" w:styleId="Head1">
    <w:name w:val="Head1"/>
    <w:basedOn w:val="Normal"/>
    <w:rsid w:val="00F2318C"/>
    <w:pPr>
      <w:spacing w:before="360" w:after="360" w:line="240" w:lineRule="auto"/>
      <w:jc w:val="center"/>
    </w:pPr>
    <w:rPr>
      <w:rFonts w:eastAsia="Times New Roman"/>
      <w:b/>
      <w:smallCaps/>
      <w:spacing w:val="68"/>
      <w:kern w:val="18"/>
      <w:sz w:val="36"/>
      <w:szCs w:val="20"/>
    </w:rPr>
  </w:style>
  <w:style w:type="paragraph" w:styleId="NormalWeb">
    <w:name w:val="Normal (Web)"/>
    <w:basedOn w:val="Normal"/>
    <w:uiPriority w:val="99"/>
    <w:rsid w:val="00F2318C"/>
    <w:pPr>
      <w:spacing w:line="240" w:lineRule="auto"/>
      <w:jc w:val="both"/>
    </w:pPr>
    <w:rPr>
      <w:rFonts w:eastAsia="Times New Roman"/>
      <w:kern w:val="18"/>
      <w:szCs w:val="20"/>
    </w:rPr>
  </w:style>
  <w:style w:type="paragraph" w:customStyle="1" w:styleId="Head2">
    <w:name w:val="Head2"/>
    <w:basedOn w:val="Normal"/>
    <w:next w:val="Text"/>
    <w:rsid w:val="004E7F2E"/>
    <w:pPr>
      <w:spacing w:before="360" w:after="120" w:line="240" w:lineRule="auto"/>
      <w:jc w:val="both"/>
    </w:pPr>
    <w:rPr>
      <w:rFonts w:ascii="Verdana" w:eastAsia="Times New Roman" w:hAnsi="Verdana"/>
      <w:b/>
      <w:smallCaps/>
      <w:color w:val="000080"/>
      <w:spacing w:val="24"/>
      <w:kern w:val="18"/>
      <w:szCs w:val="20"/>
    </w:rPr>
  </w:style>
  <w:style w:type="paragraph" w:customStyle="1" w:styleId="Text">
    <w:name w:val="Text"/>
    <w:basedOn w:val="Normal"/>
    <w:rsid w:val="004E7F2E"/>
    <w:pPr>
      <w:spacing w:after="120" w:line="240" w:lineRule="auto"/>
      <w:jc w:val="both"/>
    </w:pPr>
    <w:rPr>
      <w:rFonts w:eastAsia="Times New Roman"/>
      <w:kern w:val="18"/>
      <w:szCs w:val="20"/>
    </w:rPr>
  </w:style>
  <w:style w:type="paragraph" w:styleId="Title">
    <w:name w:val="Title"/>
    <w:basedOn w:val="Normal"/>
    <w:link w:val="TitleChar"/>
    <w:qFormat/>
    <w:rsid w:val="00653226"/>
    <w:pPr>
      <w:spacing w:line="240" w:lineRule="auto"/>
      <w:jc w:val="center"/>
    </w:pPr>
    <w:rPr>
      <w:rFonts w:ascii="Arial" w:eastAsia="Times New Roman" w:hAnsi="Arial"/>
      <w:b/>
      <w:sz w:val="28"/>
      <w:szCs w:val="20"/>
      <w:lang w:eastAsia="zh-CN"/>
    </w:rPr>
  </w:style>
  <w:style w:type="character" w:customStyle="1" w:styleId="TitleChar">
    <w:name w:val="Title Char"/>
    <w:link w:val="Title"/>
    <w:rsid w:val="00653226"/>
    <w:rPr>
      <w:rFonts w:ascii="Arial" w:eastAsia="Times New Roman" w:hAnsi="Arial"/>
      <w:b/>
      <w:sz w:val="28"/>
      <w:lang w:eastAsia="zh-CN"/>
    </w:rPr>
  </w:style>
  <w:style w:type="table" w:styleId="TableGrid">
    <w:name w:val="Table Grid"/>
    <w:basedOn w:val="TableNormal"/>
    <w:rsid w:val="00493D5F"/>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8" w:type="dxa"/>
        <w:left w:w="58" w:type="dxa"/>
        <w:bottom w:w="58" w:type="dxa"/>
        <w:right w:w="58" w:type="dxa"/>
      </w:tcMar>
      <w:vAlign w:val="center"/>
    </w:tcPr>
  </w:style>
  <w:style w:type="character" w:styleId="CommentReference">
    <w:name w:val="annotation reference"/>
    <w:uiPriority w:val="99"/>
    <w:unhideWhenUsed/>
    <w:rsid w:val="005E470E"/>
    <w:rPr>
      <w:sz w:val="16"/>
      <w:szCs w:val="16"/>
    </w:rPr>
  </w:style>
  <w:style w:type="paragraph" w:styleId="CommentText">
    <w:name w:val="annotation text"/>
    <w:basedOn w:val="Normal"/>
    <w:link w:val="CommentTextChar"/>
    <w:uiPriority w:val="99"/>
    <w:unhideWhenUsed/>
    <w:rsid w:val="005E470E"/>
    <w:rPr>
      <w:rFonts w:ascii="Helvetica" w:hAnsi="Helvetica"/>
      <w:szCs w:val="20"/>
    </w:rPr>
  </w:style>
  <w:style w:type="character" w:customStyle="1" w:styleId="CommentTextChar">
    <w:name w:val="Comment Text Char"/>
    <w:link w:val="CommentText"/>
    <w:uiPriority w:val="99"/>
    <w:rsid w:val="005E470E"/>
    <w:rPr>
      <w:rFonts w:ascii="Helvetica" w:hAnsi="Helvetica"/>
    </w:rPr>
  </w:style>
  <w:style w:type="paragraph" w:styleId="CommentSubject">
    <w:name w:val="annotation subject"/>
    <w:basedOn w:val="CommentText"/>
    <w:next w:val="CommentText"/>
    <w:link w:val="CommentSubjectChar"/>
    <w:unhideWhenUsed/>
    <w:rsid w:val="005E470E"/>
    <w:rPr>
      <w:b/>
      <w:bCs/>
    </w:rPr>
  </w:style>
  <w:style w:type="character" w:customStyle="1" w:styleId="CommentSubjectChar">
    <w:name w:val="Comment Subject Char"/>
    <w:link w:val="CommentSubject"/>
    <w:rsid w:val="005E470E"/>
    <w:rPr>
      <w:rFonts w:ascii="Helvetica" w:hAnsi="Helvetica"/>
      <w:b/>
      <w:bCs/>
    </w:rPr>
  </w:style>
  <w:style w:type="paragraph" w:styleId="BodyText3">
    <w:name w:val="Body Text 3"/>
    <w:basedOn w:val="Normal"/>
    <w:rsid w:val="009D55D0"/>
    <w:pPr>
      <w:spacing w:line="240" w:lineRule="auto"/>
    </w:pPr>
    <w:rPr>
      <w:sz w:val="18"/>
    </w:rPr>
  </w:style>
  <w:style w:type="paragraph" w:customStyle="1" w:styleId="HeadingBase">
    <w:name w:val="Heading Base"/>
    <w:basedOn w:val="BodyText"/>
    <w:next w:val="BodyText"/>
    <w:rsid w:val="00F90147"/>
    <w:pPr>
      <w:keepNext/>
      <w:keepLines/>
      <w:spacing w:after="0" w:line="240" w:lineRule="atLeast"/>
    </w:pPr>
    <w:rPr>
      <w:rFonts w:ascii="Garamond" w:hAnsi="Garamond"/>
      <w:kern w:val="20"/>
      <w:szCs w:val="20"/>
    </w:rPr>
  </w:style>
  <w:style w:type="paragraph" w:styleId="Salutation">
    <w:name w:val="Salutation"/>
    <w:basedOn w:val="Normal"/>
    <w:next w:val="Normal"/>
    <w:link w:val="SalutationChar"/>
    <w:rsid w:val="00E27FCC"/>
    <w:pPr>
      <w:spacing w:before="240" w:after="240" w:line="240" w:lineRule="atLeast"/>
    </w:pPr>
    <w:rPr>
      <w:rFonts w:eastAsia="Times New Roman"/>
      <w:kern w:val="18"/>
      <w:szCs w:val="20"/>
    </w:rPr>
  </w:style>
  <w:style w:type="character" w:customStyle="1" w:styleId="SalutationChar">
    <w:name w:val="Salutation Char"/>
    <w:link w:val="Salutation"/>
    <w:rsid w:val="00E27FCC"/>
    <w:rPr>
      <w:rFonts w:ascii="Garamond" w:eastAsia="Times New Roman" w:hAnsi="Garamond"/>
      <w:kern w:val="18"/>
    </w:rPr>
  </w:style>
  <w:style w:type="character" w:styleId="Strong">
    <w:name w:val="Strong"/>
    <w:qFormat/>
    <w:rsid w:val="00740204"/>
    <w:rPr>
      <w:b/>
    </w:rPr>
  </w:style>
  <w:style w:type="character" w:styleId="FootnoteReference">
    <w:name w:val="footnote reference"/>
    <w:rsid w:val="009F4C01"/>
    <w:rPr>
      <w:rFonts w:ascii="Times New Roman" w:hAnsi="Times New Roman"/>
      <w:sz w:val="20"/>
      <w:vertAlign w:val="superscript"/>
    </w:rPr>
  </w:style>
  <w:style w:type="character" w:styleId="EndnoteReference">
    <w:name w:val="endnote reference"/>
    <w:rsid w:val="009F4C01"/>
    <w:rPr>
      <w:rFonts w:ascii="Times New Roman" w:hAnsi="Times New Roman"/>
      <w:sz w:val="24"/>
      <w:vertAlign w:val="superscript"/>
    </w:rPr>
  </w:style>
  <w:style w:type="paragraph" w:styleId="BodyTextIndent">
    <w:name w:val="Body Text Indent"/>
    <w:basedOn w:val="Normal"/>
    <w:link w:val="BodyTextIndentChar"/>
    <w:rsid w:val="009F4C01"/>
    <w:pPr>
      <w:tabs>
        <w:tab w:val="left" w:pos="2758"/>
        <w:tab w:val="left" w:pos="3838"/>
        <w:tab w:val="left" w:pos="5098"/>
        <w:tab w:val="left" w:pos="6178"/>
        <w:tab w:val="left" w:pos="7258"/>
        <w:tab w:val="left" w:pos="8428"/>
        <w:tab w:val="left" w:pos="9576"/>
      </w:tabs>
      <w:spacing w:line="240" w:lineRule="auto"/>
      <w:ind w:left="88"/>
    </w:pPr>
    <w:rPr>
      <w:rFonts w:eastAsia="Times New Roman"/>
      <w:szCs w:val="20"/>
    </w:rPr>
  </w:style>
  <w:style w:type="character" w:customStyle="1" w:styleId="BodyTextIndentChar">
    <w:name w:val="Body Text Indent Char"/>
    <w:link w:val="BodyTextIndent"/>
    <w:rsid w:val="009F4C01"/>
    <w:rPr>
      <w:rFonts w:ascii="Garamond" w:eastAsia="Times New Roman" w:hAnsi="Garamond"/>
      <w:sz w:val="22"/>
    </w:rPr>
  </w:style>
  <w:style w:type="paragraph" w:customStyle="1" w:styleId="MediumGrid1-Accent21">
    <w:name w:val="Medium Grid 1 - Accent 21"/>
    <w:basedOn w:val="Normal"/>
    <w:uiPriority w:val="34"/>
    <w:qFormat/>
    <w:rsid w:val="009F4C01"/>
    <w:pPr>
      <w:spacing w:line="240" w:lineRule="auto"/>
      <w:ind w:left="720"/>
      <w:contextualSpacing/>
      <w:jc w:val="both"/>
    </w:pPr>
    <w:rPr>
      <w:rFonts w:eastAsia="Cambria"/>
      <w:kern w:val="18"/>
    </w:rPr>
  </w:style>
  <w:style w:type="character" w:styleId="FollowedHyperlink">
    <w:name w:val="FollowedHyperlink"/>
    <w:uiPriority w:val="99"/>
    <w:rsid w:val="009F4C01"/>
    <w:rPr>
      <w:color w:val="800080"/>
      <w:u w:val="single"/>
    </w:rPr>
  </w:style>
  <w:style w:type="character" w:customStyle="1" w:styleId="BalloonTextChar10">
    <w:name w:val="Balloon Text Char1"/>
    <w:rsid w:val="009F4C01"/>
    <w:rPr>
      <w:rFonts w:ascii="Lucida Grande" w:hAnsi="Lucida Grande"/>
      <w:kern w:val="18"/>
      <w:sz w:val="18"/>
      <w:szCs w:val="18"/>
    </w:rPr>
  </w:style>
  <w:style w:type="paragraph" w:styleId="FootnoteText">
    <w:name w:val="footnote text"/>
    <w:basedOn w:val="Normal"/>
    <w:link w:val="FootnoteTextChar"/>
    <w:rsid w:val="009F4C01"/>
    <w:pPr>
      <w:spacing w:line="240" w:lineRule="auto"/>
      <w:jc w:val="both"/>
    </w:pPr>
    <w:rPr>
      <w:rFonts w:eastAsia="Cambria"/>
      <w:kern w:val="18"/>
    </w:rPr>
  </w:style>
  <w:style w:type="character" w:customStyle="1" w:styleId="FootnoteTextChar">
    <w:name w:val="Footnote Text Char"/>
    <w:link w:val="FootnoteText"/>
    <w:rsid w:val="009F4C01"/>
    <w:rPr>
      <w:rFonts w:ascii="Garamond" w:eastAsia="Cambria" w:hAnsi="Garamond"/>
      <w:kern w:val="18"/>
      <w:sz w:val="24"/>
      <w:szCs w:val="24"/>
    </w:rPr>
  </w:style>
  <w:style w:type="paragraph" w:styleId="EndnoteText">
    <w:name w:val="endnote text"/>
    <w:basedOn w:val="Normal"/>
    <w:link w:val="EndnoteTextChar"/>
    <w:rsid w:val="00EF7DB2"/>
    <w:pPr>
      <w:spacing w:line="240" w:lineRule="auto"/>
    </w:pPr>
    <w:rPr>
      <w:sz w:val="18"/>
    </w:rPr>
  </w:style>
  <w:style w:type="character" w:customStyle="1" w:styleId="EndnoteTextChar">
    <w:name w:val="Endnote Text Char"/>
    <w:link w:val="EndnoteText"/>
    <w:rsid w:val="00EF7DB2"/>
    <w:rPr>
      <w:rFonts w:ascii="Garamond" w:hAnsi="Garamond"/>
      <w:sz w:val="18"/>
      <w:szCs w:val="24"/>
    </w:rPr>
  </w:style>
  <w:style w:type="table" w:customStyle="1" w:styleId="ATable">
    <w:name w:val="A Table"/>
    <w:basedOn w:val="TableGrid"/>
    <w:qFormat/>
    <w:rsid w:val="001D7C7F"/>
    <w:rPr>
      <w:rFonts w:eastAsia="Cambria"/>
      <w:sz w:val="16"/>
      <w:szCs w:val="24"/>
    </w:rPr>
    <w:tblPr/>
    <w:tcPr>
      <w:tcMar>
        <w:top w:w="29" w:type="dxa"/>
        <w:left w:w="29" w:type="dxa"/>
        <w:bottom w:w="29" w:type="dxa"/>
        <w:right w:w="29" w:type="dxa"/>
      </w:tcMar>
    </w:tcPr>
  </w:style>
  <w:style w:type="paragraph" w:customStyle="1" w:styleId="MediumList2-Accent21">
    <w:name w:val="Medium List 2 - Accent 21"/>
    <w:hidden/>
    <w:rsid w:val="00715787"/>
    <w:rPr>
      <w:rFonts w:ascii="Garamond" w:hAnsi="Garamond"/>
      <w:sz w:val="22"/>
      <w:szCs w:val="24"/>
    </w:rPr>
  </w:style>
  <w:style w:type="character" w:customStyle="1" w:styleId="Heading5Char">
    <w:name w:val="Heading 5 Char"/>
    <w:basedOn w:val="DefaultParagraphFont"/>
    <w:link w:val="Heading5"/>
    <w:rsid w:val="0009238E"/>
    <w:rPr>
      <w:rFonts w:ascii="Times New Roman" w:eastAsia="Times New Roman" w:hAnsi="Times New Roman"/>
      <w:b/>
      <w:bCs/>
      <w:i/>
      <w:iCs/>
      <w:sz w:val="24"/>
      <w:szCs w:val="26"/>
    </w:rPr>
  </w:style>
  <w:style w:type="numbering" w:styleId="111111">
    <w:name w:val="Outline List 2"/>
    <w:aliases w:val="1 Head WMEP"/>
    <w:basedOn w:val="NoList"/>
    <w:rsid w:val="0009238E"/>
    <w:pPr>
      <w:numPr>
        <w:numId w:val="1"/>
      </w:numPr>
    </w:pPr>
  </w:style>
  <w:style w:type="table" w:styleId="Table3Deffects3">
    <w:name w:val="Table 3D effects 3"/>
    <w:basedOn w:val="TableNormal"/>
    <w:rsid w:val="0009238E"/>
    <w:rPr>
      <w:rFonts w:ascii="Times New Roman" w:eastAsiaTheme="minorEastAsia" w:hAnsi="Times New Roman"/>
      <w:lang w:eastAsia="ko-K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9238E"/>
    <w:rPr>
      <w:rFonts w:ascii="Times New Roman" w:eastAsiaTheme="minorEastAsia" w:hAnsi="Times New Roman"/>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aliases w:val="List Paragraph-1"/>
    <w:basedOn w:val="Normal"/>
    <w:uiPriority w:val="34"/>
    <w:qFormat/>
    <w:rsid w:val="004659D1"/>
    <w:pPr>
      <w:numPr>
        <w:numId w:val="4"/>
      </w:numPr>
      <w:contextualSpacing/>
    </w:pPr>
    <w:rPr>
      <w:rFonts w:eastAsia="Times New Roman"/>
    </w:rPr>
  </w:style>
  <w:style w:type="paragraph" w:customStyle="1" w:styleId="Default">
    <w:name w:val="Default"/>
    <w:rsid w:val="00102766"/>
    <w:pPr>
      <w:widowControl w:val="0"/>
      <w:autoSpaceDE w:val="0"/>
      <w:autoSpaceDN w:val="0"/>
      <w:adjustRightInd w:val="0"/>
    </w:pPr>
    <w:rPr>
      <w:rFonts w:ascii="Arial" w:eastAsia="Times New Roman" w:hAnsi="Arial" w:cs="Arial"/>
      <w:color w:val="000000"/>
      <w:sz w:val="24"/>
      <w:szCs w:val="24"/>
    </w:rPr>
  </w:style>
  <w:style w:type="table" w:customStyle="1" w:styleId="QQuestionTable">
    <w:name w:val="QQuestionTable"/>
    <w:uiPriority w:val="99"/>
    <w:qFormat/>
    <w:rsid w:val="00491F31"/>
    <w:pPr>
      <w:jc w:val="center"/>
    </w:pPr>
    <w:rPr>
      <w:rFonts w:asciiTheme="minorHAnsi" w:eastAsiaTheme="minorEastAsia" w:hAnsiTheme="minorHAnsi" w:cstheme="minorBidi"/>
      <w:sz w:val="22"/>
      <w:szCs w:val="22"/>
      <w:lang w:val="en-US" w:eastAsia="en-ZA"/>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491F31"/>
    <w:rPr>
      <w:rFonts w:asciiTheme="minorHAnsi" w:eastAsiaTheme="minorEastAsia" w:hAnsiTheme="minorHAnsi" w:cstheme="minorBidi"/>
      <w:color w:val="FFFFFF" w:themeColor="background1"/>
      <w:sz w:val="22"/>
      <w:szCs w:val="22"/>
    </w:rPr>
  </w:style>
  <w:style w:type="numbering" w:customStyle="1" w:styleId="Multipunch">
    <w:name w:val="Multi punch"/>
    <w:rsid w:val="00491F31"/>
    <w:pPr>
      <w:numPr>
        <w:numId w:val="2"/>
      </w:numPr>
    </w:pPr>
  </w:style>
  <w:style w:type="numbering" w:customStyle="1" w:styleId="Singlepunch">
    <w:name w:val="Single punch"/>
    <w:rsid w:val="00491F31"/>
    <w:pPr>
      <w:numPr>
        <w:numId w:val="3"/>
      </w:numPr>
    </w:pPr>
  </w:style>
  <w:style w:type="character" w:styleId="UnresolvedMention">
    <w:name w:val="Unresolved Mention"/>
    <w:basedOn w:val="DefaultParagraphFont"/>
    <w:rsid w:val="007E1BD3"/>
    <w:rPr>
      <w:color w:val="605E5C"/>
      <w:shd w:val="clear" w:color="auto" w:fill="E1DFDD"/>
    </w:rPr>
  </w:style>
  <w:style w:type="character" w:customStyle="1" w:styleId="apple-converted-space">
    <w:name w:val="apple-converted-space"/>
    <w:basedOn w:val="DefaultParagraphFont"/>
    <w:rsid w:val="00E02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5342">
      <w:bodyDiv w:val="1"/>
      <w:marLeft w:val="0"/>
      <w:marRight w:val="0"/>
      <w:marTop w:val="0"/>
      <w:marBottom w:val="0"/>
      <w:divBdr>
        <w:top w:val="none" w:sz="0" w:space="0" w:color="auto"/>
        <w:left w:val="none" w:sz="0" w:space="0" w:color="auto"/>
        <w:bottom w:val="none" w:sz="0" w:space="0" w:color="auto"/>
        <w:right w:val="none" w:sz="0" w:space="0" w:color="auto"/>
      </w:divBdr>
    </w:div>
    <w:div w:id="86312742">
      <w:bodyDiv w:val="1"/>
      <w:marLeft w:val="0"/>
      <w:marRight w:val="0"/>
      <w:marTop w:val="0"/>
      <w:marBottom w:val="0"/>
      <w:divBdr>
        <w:top w:val="none" w:sz="0" w:space="0" w:color="auto"/>
        <w:left w:val="none" w:sz="0" w:space="0" w:color="auto"/>
        <w:bottom w:val="none" w:sz="0" w:space="0" w:color="auto"/>
        <w:right w:val="none" w:sz="0" w:space="0" w:color="auto"/>
      </w:divBdr>
    </w:div>
    <w:div w:id="158161407">
      <w:bodyDiv w:val="1"/>
      <w:marLeft w:val="0"/>
      <w:marRight w:val="0"/>
      <w:marTop w:val="0"/>
      <w:marBottom w:val="0"/>
      <w:divBdr>
        <w:top w:val="none" w:sz="0" w:space="0" w:color="auto"/>
        <w:left w:val="none" w:sz="0" w:space="0" w:color="auto"/>
        <w:bottom w:val="none" w:sz="0" w:space="0" w:color="auto"/>
        <w:right w:val="none" w:sz="0" w:space="0" w:color="auto"/>
      </w:divBdr>
    </w:div>
    <w:div w:id="256183504">
      <w:bodyDiv w:val="1"/>
      <w:marLeft w:val="0"/>
      <w:marRight w:val="0"/>
      <w:marTop w:val="0"/>
      <w:marBottom w:val="0"/>
      <w:divBdr>
        <w:top w:val="none" w:sz="0" w:space="0" w:color="auto"/>
        <w:left w:val="none" w:sz="0" w:space="0" w:color="auto"/>
        <w:bottom w:val="none" w:sz="0" w:space="0" w:color="auto"/>
        <w:right w:val="none" w:sz="0" w:space="0" w:color="auto"/>
      </w:divBdr>
    </w:div>
    <w:div w:id="257183148">
      <w:bodyDiv w:val="1"/>
      <w:marLeft w:val="0"/>
      <w:marRight w:val="0"/>
      <w:marTop w:val="0"/>
      <w:marBottom w:val="0"/>
      <w:divBdr>
        <w:top w:val="none" w:sz="0" w:space="0" w:color="auto"/>
        <w:left w:val="none" w:sz="0" w:space="0" w:color="auto"/>
        <w:bottom w:val="none" w:sz="0" w:space="0" w:color="auto"/>
        <w:right w:val="none" w:sz="0" w:space="0" w:color="auto"/>
      </w:divBdr>
      <w:divsChild>
        <w:div w:id="283124385">
          <w:marLeft w:val="0"/>
          <w:marRight w:val="0"/>
          <w:marTop w:val="0"/>
          <w:marBottom w:val="0"/>
          <w:divBdr>
            <w:top w:val="none" w:sz="0" w:space="0" w:color="auto"/>
            <w:left w:val="none" w:sz="0" w:space="0" w:color="auto"/>
            <w:bottom w:val="none" w:sz="0" w:space="0" w:color="auto"/>
            <w:right w:val="none" w:sz="0" w:space="0" w:color="auto"/>
          </w:divBdr>
          <w:divsChild>
            <w:div w:id="724181762">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256064343">
          <w:marLeft w:val="0"/>
          <w:marRight w:val="0"/>
          <w:marTop w:val="0"/>
          <w:marBottom w:val="0"/>
          <w:divBdr>
            <w:top w:val="none" w:sz="0" w:space="0" w:color="auto"/>
            <w:left w:val="none" w:sz="0" w:space="0" w:color="auto"/>
            <w:bottom w:val="none" w:sz="0" w:space="0" w:color="auto"/>
            <w:right w:val="none" w:sz="0" w:space="0" w:color="auto"/>
          </w:divBdr>
        </w:div>
        <w:div w:id="65885795">
          <w:marLeft w:val="0"/>
          <w:marRight w:val="0"/>
          <w:marTop w:val="0"/>
          <w:marBottom w:val="0"/>
          <w:divBdr>
            <w:top w:val="none" w:sz="0" w:space="0" w:color="auto"/>
            <w:left w:val="none" w:sz="0" w:space="0" w:color="auto"/>
            <w:bottom w:val="none" w:sz="0" w:space="0" w:color="auto"/>
            <w:right w:val="none" w:sz="0" w:space="0" w:color="auto"/>
          </w:divBdr>
        </w:div>
        <w:div w:id="1027219125">
          <w:marLeft w:val="0"/>
          <w:marRight w:val="0"/>
          <w:marTop w:val="0"/>
          <w:marBottom w:val="0"/>
          <w:divBdr>
            <w:top w:val="none" w:sz="0" w:space="0" w:color="auto"/>
            <w:left w:val="none" w:sz="0" w:space="0" w:color="auto"/>
            <w:bottom w:val="none" w:sz="0" w:space="0" w:color="auto"/>
            <w:right w:val="none" w:sz="0" w:space="0" w:color="auto"/>
          </w:divBdr>
        </w:div>
        <w:div w:id="190846475">
          <w:marLeft w:val="0"/>
          <w:marRight w:val="0"/>
          <w:marTop w:val="0"/>
          <w:marBottom w:val="0"/>
          <w:divBdr>
            <w:top w:val="none" w:sz="0" w:space="0" w:color="auto"/>
            <w:left w:val="none" w:sz="0" w:space="0" w:color="auto"/>
            <w:bottom w:val="none" w:sz="0" w:space="0" w:color="auto"/>
            <w:right w:val="none" w:sz="0" w:space="0" w:color="auto"/>
          </w:divBdr>
        </w:div>
        <w:div w:id="1047069977">
          <w:marLeft w:val="0"/>
          <w:marRight w:val="0"/>
          <w:marTop w:val="0"/>
          <w:marBottom w:val="0"/>
          <w:divBdr>
            <w:top w:val="none" w:sz="0" w:space="0" w:color="auto"/>
            <w:left w:val="none" w:sz="0" w:space="0" w:color="auto"/>
            <w:bottom w:val="none" w:sz="0" w:space="0" w:color="auto"/>
            <w:right w:val="none" w:sz="0" w:space="0" w:color="auto"/>
          </w:divBdr>
          <w:divsChild>
            <w:div w:id="9568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9878">
      <w:bodyDiv w:val="1"/>
      <w:marLeft w:val="0"/>
      <w:marRight w:val="0"/>
      <w:marTop w:val="0"/>
      <w:marBottom w:val="0"/>
      <w:divBdr>
        <w:top w:val="none" w:sz="0" w:space="0" w:color="auto"/>
        <w:left w:val="none" w:sz="0" w:space="0" w:color="auto"/>
        <w:bottom w:val="none" w:sz="0" w:space="0" w:color="auto"/>
        <w:right w:val="none" w:sz="0" w:space="0" w:color="auto"/>
      </w:divBdr>
    </w:div>
    <w:div w:id="325980399">
      <w:bodyDiv w:val="1"/>
      <w:marLeft w:val="0"/>
      <w:marRight w:val="0"/>
      <w:marTop w:val="0"/>
      <w:marBottom w:val="0"/>
      <w:divBdr>
        <w:top w:val="none" w:sz="0" w:space="0" w:color="auto"/>
        <w:left w:val="none" w:sz="0" w:space="0" w:color="auto"/>
        <w:bottom w:val="none" w:sz="0" w:space="0" w:color="auto"/>
        <w:right w:val="none" w:sz="0" w:space="0" w:color="auto"/>
      </w:divBdr>
    </w:div>
    <w:div w:id="347029335">
      <w:bodyDiv w:val="1"/>
      <w:marLeft w:val="0"/>
      <w:marRight w:val="0"/>
      <w:marTop w:val="0"/>
      <w:marBottom w:val="0"/>
      <w:divBdr>
        <w:top w:val="none" w:sz="0" w:space="0" w:color="auto"/>
        <w:left w:val="none" w:sz="0" w:space="0" w:color="auto"/>
        <w:bottom w:val="none" w:sz="0" w:space="0" w:color="auto"/>
        <w:right w:val="none" w:sz="0" w:space="0" w:color="auto"/>
      </w:divBdr>
    </w:div>
    <w:div w:id="377246486">
      <w:bodyDiv w:val="1"/>
      <w:marLeft w:val="0"/>
      <w:marRight w:val="0"/>
      <w:marTop w:val="0"/>
      <w:marBottom w:val="0"/>
      <w:divBdr>
        <w:top w:val="none" w:sz="0" w:space="0" w:color="auto"/>
        <w:left w:val="none" w:sz="0" w:space="0" w:color="auto"/>
        <w:bottom w:val="none" w:sz="0" w:space="0" w:color="auto"/>
        <w:right w:val="none" w:sz="0" w:space="0" w:color="auto"/>
      </w:divBdr>
    </w:div>
    <w:div w:id="392192827">
      <w:bodyDiv w:val="1"/>
      <w:marLeft w:val="0"/>
      <w:marRight w:val="0"/>
      <w:marTop w:val="0"/>
      <w:marBottom w:val="0"/>
      <w:divBdr>
        <w:top w:val="none" w:sz="0" w:space="0" w:color="auto"/>
        <w:left w:val="none" w:sz="0" w:space="0" w:color="auto"/>
        <w:bottom w:val="none" w:sz="0" w:space="0" w:color="auto"/>
        <w:right w:val="none" w:sz="0" w:space="0" w:color="auto"/>
      </w:divBdr>
    </w:div>
    <w:div w:id="458645221">
      <w:bodyDiv w:val="1"/>
      <w:marLeft w:val="0"/>
      <w:marRight w:val="0"/>
      <w:marTop w:val="0"/>
      <w:marBottom w:val="0"/>
      <w:divBdr>
        <w:top w:val="none" w:sz="0" w:space="0" w:color="auto"/>
        <w:left w:val="none" w:sz="0" w:space="0" w:color="auto"/>
        <w:bottom w:val="none" w:sz="0" w:space="0" w:color="auto"/>
        <w:right w:val="none" w:sz="0" w:space="0" w:color="auto"/>
      </w:divBdr>
    </w:div>
    <w:div w:id="582295949">
      <w:bodyDiv w:val="1"/>
      <w:marLeft w:val="0"/>
      <w:marRight w:val="0"/>
      <w:marTop w:val="0"/>
      <w:marBottom w:val="0"/>
      <w:divBdr>
        <w:top w:val="none" w:sz="0" w:space="0" w:color="auto"/>
        <w:left w:val="none" w:sz="0" w:space="0" w:color="auto"/>
        <w:bottom w:val="none" w:sz="0" w:space="0" w:color="auto"/>
        <w:right w:val="none" w:sz="0" w:space="0" w:color="auto"/>
      </w:divBdr>
    </w:div>
    <w:div w:id="606817175">
      <w:bodyDiv w:val="1"/>
      <w:marLeft w:val="0"/>
      <w:marRight w:val="0"/>
      <w:marTop w:val="0"/>
      <w:marBottom w:val="0"/>
      <w:divBdr>
        <w:top w:val="none" w:sz="0" w:space="0" w:color="auto"/>
        <w:left w:val="none" w:sz="0" w:space="0" w:color="auto"/>
        <w:bottom w:val="none" w:sz="0" w:space="0" w:color="auto"/>
        <w:right w:val="none" w:sz="0" w:space="0" w:color="auto"/>
      </w:divBdr>
    </w:div>
    <w:div w:id="682557677">
      <w:bodyDiv w:val="1"/>
      <w:marLeft w:val="0"/>
      <w:marRight w:val="0"/>
      <w:marTop w:val="0"/>
      <w:marBottom w:val="0"/>
      <w:divBdr>
        <w:top w:val="none" w:sz="0" w:space="0" w:color="auto"/>
        <w:left w:val="none" w:sz="0" w:space="0" w:color="auto"/>
        <w:bottom w:val="none" w:sz="0" w:space="0" w:color="auto"/>
        <w:right w:val="none" w:sz="0" w:space="0" w:color="auto"/>
      </w:divBdr>
    </w:div>
    <w:div w:id="958340610">
      <w:bodyDiv w:val="1"/>
      <w:marLeft w:val="0"/>
      <w:marRight w:val="0"/>
      <w:marTop w:val="0"/>
      <w:marBottom w:val="0"/>
      <w:divBdr>
        <w:top w:val="none" w:sz="0" w:space="0" w:color="auto"/>
        <w:left w:val="none" w:sz="0" w:space="0" w:color="auto"/>
        <w:bottom w:val="none" w:sz="0" w:space="0" w:color="auto"/>
        <w:right w:val="none" w:sz="0" w:space="0" w:color="auto"/>
      </w:divBdr>
    </w:div>
    <w:div w:id="1039892035">
      <w:bodyDiv w:val="1"/>
      <w:marLeft w:val="0"/>
      <w:marRight w:val="0"/>
      <w:marTop w:val="0"/>
      <w:marBottom w:val="0"/>
      <w:divBdr>
        <w:top w:val="none" w:sz="0" w:space="0" w:color="auto"/>
        <w:left w:val="none" w:sz="0" w:space="0" w:color="auto"/>
        <w:bottom w:val="none" w:sz="0" w:space="0" w:color="auto"/>
        <w:right w:val="none" w:sz="0" w:space="0" w:color="auto"/>
      </w:divBdr>
    </w:div>
    <w:div w:id="1103767178">
      <w:bodyDiv w:val="1"/>
      <w:marLeft w:val="0"/>
      <w:marRight w:val="0"/>
      <w:marTop w:val="0"/>
      <w:marBottom w:val="0"/>
      <w:divBdr>
        <w:top w:val="none" w:sz="0" w:space="0" w:color="auto"/>
        <w:left w:val="none" w:sz="0" w:space="0" w:color="auto"/>
        <w:bottom w:val="none" w:sz="0" w:space="0" w:color="auto"/>
        <w:right w:val="none" w:sz="0" w:space="0" w:color="auto"/>
      </w:divBdr>
    </w:div>
    <w:div w:id="1118262641">
      <w:bodyDiv w:val="1"/>
      <w:marLeft w:val="0"/>
      <w:marRight w:val="0"/>
      <w:marTop w:val="0"/>
      <w:marBottom w:val="0"/>
      <w:divBdr>
        <w:top w:val="none" w:sz="0" w:space="0" w:color="auto"/>
        <w:left w:val="none" w:sz="0" w:space="0" w:color="auto"/>
        <w:bottom w:val="none" w:sz="0" w:space="0" w:color="auto"/>
        <w:right w:val="none" w:sz="0" w:space="0" w:color="auto"/>
      </w:divBdr>
    </w:div>
    <w:div w:id="1188174889">
      <w:bodyDiv w:val="1"/>
      <w:marLeft w:val="0"/>
      <w:marRight w:val="0"/>
      <w:marTop w:val="0"/>
      <w:marBottom w:val="0"/>
      <w:divBdr>
        <w:top w:val="none" w:sz="0" w:space="0" w:color="auto"/>
        <w:left w:val="none" w:sz="0" w:space="0" w:color="auto"/>
        <w:bottom w:val="none" w:sz="0" w:space="0" w:color="auto"/>
        <w:right w:val="none" w:sz="0" w:space="0" w:color="auto"/>
      </w:divBdr>
    </w:div>
    <w:div w:id="1423183029">
      <w:bodyDiv w:val="1"/>
      <w:marLeft w:val="0"/>
      <w:marRight w:val="0"/>
      <w:marTop w:val="0"/>
      <w:marBottom w:val="0"/>
      <w:divBdr>
        <w:top w:val="none" w:sz="0" w:space="0" w:color="auto"/>
        <w:left w:val="none" w:sz="0" w:space="0" w:color="auto"/>
        <w:bottom w:val="none" w:sz="0" w:space="0" w:color="auto"/>
        <w:right w:val="none" w:sz="0" w:space="0" w:color="auto"/>
      </w:divBdr>
    </w:div>
    <w:div w:id="1580825667">
      <w:bodyDiv w:val="1"/>
      <w:marLeft w:val="0"/>
      <w:marRight w:val="0"/>
      <w:marTop w:val="0"/>
      <w:marBottom w:val="0"/>
      <w:divBdr>
        <w:top w:val="none" w:sz="0" w:space="0" w:color="auto"/>
        <w:left w:val="none" w:sz="0" w:space="0" w:color="auto"/>
        <w:bottom w:val="none" w:sz="0" w:space="0" w:color="auto"/>
        <w:right w:val="none" w:sz="0" w:space="0" w:color="auto"/>
      </w:divBdr>
    </w:div>
    <w:div w:id="1694188097">
      <w:bodyDiv w:val="1"/>
      <w:marLeft w:val="0"/>
      <w:marRight w:val="0"/>
      <w:marTop w:val="0"/>
      <w:marBottom w:val="0"/>
      <w:divBdr>
        <w:top w:val="none" w:sz="0" w:space="0" w:color="auto"/>
        <w:left w:val="none" w:sz="0" w:space="0" w:color="auto"/>
        <w:bottom w:val="none" w:sz="0" w:space="0" w:color="auto"/>
        <w:right w:val="none" w:sz="0" w:space="0" w:color="auto"/>
      </w:divBdr>
      <w:divsChild>
        <w:div w:id="2001690927">
          <w:marLeft w:val="0"/>
          <w:marRight w:val="0"/>
          <w:marTop w:val="0"/>
          <w:marBottom w:val="0"/>
          <w:divBdr>
            <w:top w:val="none" w:sz="0" w:space="0" w:color="auto"/>
            <w:left w:val="none" w:sz="0" w:space="0" w:color="auto"/>
            <w:bottom w:val="none" w:sz="0" w:space="0" w:color="auto"/>
            <w:right w:val="none" w:sz="0" w:space="0" w:color="auto"/>
          </w:divBdr>
          <w:divsChild>
            <w:div w:id="2004551286">
              <w:marLeft w:val="0"/>
              <w:marRight w:val="0"/>
              <w:marTop w:val="0"/>
              <w:marBottom w:val="0"/>
              <w:divBdr>
                <w:top w:val="none" w:sz="0" w:space="0" w:color="auto"/>
                <w:left w:val="none" w:sz="0" w:space="0" w:color="auto"/>
                <w:bottom w:val="none" w:sz="0" w:space="0" w:color="auto"/>
                <w:right w:val="none" w:sz="0" w:space="0" w:color="auto"/>
              </w:divBdr>
              <w:divsChild>
                <w:div w:id="431896216">
                  <w:marLeft w:val="0"/>
                  <w:marRight w:val="0"/>
                  <w:marTop w:val="0"/>
                  <w:marBottom w:val="0"/>
                  <w:divBdr>
                    <w:top w:val="none" w:sz="0" w:space="0" w:color="auto"/>
                    <w:left w:val="none" w:sz="0" w:space="0" w:color="auto"/>
                    <w:bottom w:val="none" w:sz="0" w:space="0" w:color="auto"/>
                    <w:right w:val="none" w:sz="0" w:space="0" w:color="auto"/>
                  </w:divBdr>
                </w:div>
              </w:divsChild>
            </w:div>
            <w:div w:id="198127499">
              <w:marLeft w:val="0"/>
              <w:marRight w:val="0"/>
              <w:marTop w:val="0"/>
              <w:marBottom w:val="0"/>
              <w:divBdr>
                <w:top w:val="none" w:sz="0" w:space="0" w:color="auto"/>
                <w:left w:val="none" w:sz="0" w:space="0" w:color="auto"/>
                <w:bottom w:val="none" w:sz="0" w:space="0" w:color="auto"/>
                <w:right w:val="none" w:sz="0" w:space="0" w:color="auto"/>
              </w:divBdr>
              <w:divsChild>
                <w:div w:id="17835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6456">
          <w:marLeft w:val="0"/>
          <w:marRight w:val="0"/>
          <w:marTop w:val="0"/>
          <w:marBottom w:val="0"/>
          <w:divBdr>
            <w:top w:val="none" w:sz="0" w:space="0" w:color="auto"/>
            <w:left w:val="none" w:sz="0" w:space="0" w:color="auto"/>
            <w:bottom w:val="none" w:sz="0" w:space="0" w:color="auto"/>
            <w:right w:val="none" w:sz="0" w:space="0" w:color="auto"/>
          </w:divBdr>
          <w:divsChild>
            <w:div w:id="1735739194">
              <w:marLeft w:val="0"/>
              <w:marRight w:val="0"/>
              <w:marTop w:val="0"/>
              <w:marBottom w:val="0"/>
              <w:divBdr>
                <w:top w:val="none" w:sz="0" w:space="0" w:color="auto"/>
                <w:left w:val="none" w:sz="0" w:space="0" w:color="auto"/>
                <w:bottom w:val="none" w:sz="0" w:space="0" w:color="auto"/>
                <w:right w:val="none" w:sz="0" w:space="0" w:color="auto"/>
              </w:divBdr>
              <w:divsChild>
                <w:div w:id="1202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24173">
      <w:bodyDiv w:val="1"/>
      <w:marLeft w:val="0"/>
      <w:marRight w:val="0"/>
      <w:marTop w:val="0"/>
      <w:marBottom w:val="0"/>
      <w:divBdr>
        <w:top w:val="none" w:sz="0" w:space="0" w:color="auto"/>
        <w:left w:val="none" w:sz="0" w:space="0" w:color="auto"/>
        <w:bottom w:val="none" w:sz="0" w:space="0" w:color="auto"/>
        <w:right w:val="none" w:sz="0" w:space="0" w:color="auto"/>
      </w:divBdr>
    </w:div>
    <w:div w:id="1715618196">
      <w:bodyDiv w:val="1"/>
      <w:marLeft w:val="0"/>
      <w:marRight w:val="0"/>
      <w:marTop w:val="0"/>
      <w:marBottom w:val="0"/>
      <w:divBdr>
        <w:top w:val="none" w:sz="0" w:space="0" w:color="auto"/>
        <w:left w:val="none" w:sz="0" w:space="0" w:color="auto"/>
        <w:bottom w:val="none" w:sz="0" w:space="0" w:color="auto"/>
        <w:right w:val="none" w:sz="0" w:space="0" w:color="auto"/>
      </w:divBdr>
    </w:div>
    <w:div w:id="1734235823">
      <w:bodyDiv w:val="1"/>
      <w:marLeft w:val="0"/>
      <w:marRight w:val="0"/>
      <w:marTop w:val="0"/>
      <w:marBottom w:val="0"/>
      <w:divBdr>
        <w:top w:val="none" w:sz="0" w:space="0" w:color="auto"/>
        <w:left w:val="none" w:sz="0" w:space="0" w:color="auto"/>
        <w:bottom w:val="none" w:sz="0" w:space="0" w:color="auto"/>
        <w:right w:val="none" w:sz="0" w:space="0" w:color="auto"/>
      </w:divBdr>
    </w:div>
    <w:div w:id="1787657384">
      <w:bodyDiv w:val="1"/>
      <w:marLeft w:val="0"/>
      <w:marRight w:val="0"/>
      <w:marTop w:val="0"/>
      <w:marBottom w:val="0"/>
      <w:divBdr>
        <w:top w:val="none" w:sz="0" w:space="0" w:color="auto"/>
        <w:left w:val="none" w:sz="0" w:space="0" w:color="auto"/>
        <w:bottom w:val="none" w:sz="0" w:space="0" w:color="auto"/>
        <w:right w:val="none" w:sz="0" w:space="0" w:color="auto"/>
      </w:divBdr>
    </w:div>
    <w:div w:id="1849563082">
      <w:bodyDiv w:val="1"/>
      <w:marLeft w:val="0"/>
      <w:marRight w:val="0"/>
      <w:marTop w:val="0"/>
      <w:marBottom w:val="0"/>
      <w:divBdr>
        <w:top w:val="none" w:sz="0" w:space="0" w:color="auto"/>
        <w:left w:val="none" w:sz="0" w:space="0" w:color="auto"/>
        <w:bottom w:val="none" w:sz="0" w:space="0" w:color="auto"/>
        <w:right w:val="none" w:sz="0" w:space="0" w:color="auto"/>
      </w:divBdr>
    </w:div>
    <w:div w:id="1997107683">
      <w:bodyDiv w:val="1"/>
      <w:marLeft w:val="0"/>
      <w:marRight w:val="0"/>
      <w:marTop w:val="0"/>
      <w:marBottom w:val="0"/>
      <w:divBdr>
        <w:top w:val="none" w:sz="0" w:space="0" w:color="auto"/>
        <w:left w:val="none" w:sz="0" w:space="0" w:color="auto"/>
        <w:bottom w:val="none" w:sz="0" w:space="0" w:color="auto"/>
        <w:right w:val="none" w:sz="0" w:space="0" w:color="auto"/>
      </w:divBdr>
    </w:div>
    <w:div w:id="2001696239">
      <w:bodyDiv w:val="1"/>
      <w:marLeft w:val="0"/>
      <w:marRight w:val="0"/>
      <w:marTop w:val="0"/>
      <w:marBottom w:val="0"/>
      <w:divBdr>
        <w:top w:val="none" w:sz="0" w:space="0" w:color="auto"/>
        <w:left w:val="none" w:sz="0" w:space="0" w:color="auto"/>
        <w:bottom w:val="none" w:sz="0" w:space="0" w:color="auto"/>
        <w:right w:val="none" w:sz="0" w:space="0" w:color="auto"/>
      </w:divBdr>
    </w:div>
    <w:div w:id="2027098378">
      <w:bodyDiv w:val="1"/>
      <w:marLeft w:val="0"/>
      <w:marRight w:val="0"/>
      <w:marTop w:val="0"/>
      <w:marBottom w:val="0"/>
      <w:divBdr>
        <w:top w:val="none" w:sz="0" w:space="0" w:color="auto"/>
        <w:left w:val="none" w:sz="0" w:space="0" w:color="auto"/>
        <w:bottom w:val="none" w:sz="0" w:space="0" w:color="auto"/>
        <w:right w:val="none" w:sz="0" w:space="0" w:color="auto"/>
      </w:divBdr>
    </w:div>
    <w:div w:id="2045861617">
      <w:bodyDiv w:val="1"/>
      <w:marLeft w:val="0"/>
      <w:marRight w:val="0"/>
      <w:marTop w:val="0"/>
      <w:marBottom w:val="0"/>
      <w:divBdr>
        <w:top w:val="none" w:sz="0" w:space="0" w:color="auto"/>
        <w:left w:val="none" w:sz="0" w:space="0" w:color="auto"/>
        <w:bottom w:val="none" w:sz="0" w:space="0" w:color="auto"/>
        <w:right w:val="none" w:sz="0" w:space="0" w:color="auto"/>
      </w:divBdr>
    </w:div>
    <w:div w:id="2140218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65B57-840F-2847-B856-7D7C3E10C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Schedule for Microsoft White Papers</vt:lpstr>
    </vt:vector>
  </TitlesOfParts>
  <Company>Microsoft</Company>
  <LinksUpToDate>false</LinksUpToDate>
  <CharactersWithSpaces>5488</CharactersWithSpaces>
  <SharedDoc>false</SharedDoc>
  <HLinks>
    <vt:vector size="6" baseType="variant">
      <vt:variant>
        <vt:i4>2556010</vt:i4>
      </vt:variant>
      <vt:variant>
        <vt:i4>0</vt:i4>
      </vt:variant>
      <vt:variant>
        <vt:i4>0</vt:i4>
      </vt:variant>
      <vt:variant>
        <vt:i4>5</vt:i4>
      </vt:variant>
      <vt:variant>
        <vt:lpwstr>http://en.wikipedia.org/wiki/Registration,_Evaluation,_Authorisation_and_Restriction_of_Chemicals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for Microsoft White Papers</dc:title>
  <dc:subject/>
  <dc:creator>John Brandt</dc:creator>
  <cp:keywords/>
  <cp:lastModifiedBy>George Taninecz</cp:lastModifiedBy>
  <cp:revision>3</cp:revision>
  <cp:lastPrinted>2017-01-19T16:54:00Z</cp:lastPrinted>
  <dcterms:created xsi:type="dcterms:W3CDTF">2020-06-09T18:43:00Z</dcterms:created>
  <dcterms:modified xsi:type="dcterms:W3CDTF">2020-07-07T15:40:00Z</dcterms:modified>
</cp:coreProperties>
</file>