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046B" w14:textId="177E506B" w:rsidR="00591582" w:rsidRDefault="00591582" w:rsidP="007B3C05">
      <w:pPr>
        <w:spacing w:line="240" w:lineRule="auto"/>
      </w:pPr>
    </w:p>
    <w:p w14:paraId="48108AC1" w14:textId="799219CC" w:rsidR="004F4D22" w:rsidRDefault="0058705A" w:rsidP="007B3C05">
      <w:pPr>
        <w:pStyle w:val="Heading1"/>
        <w:spacing w:line="240" w:lineRule="auto"/>
        <w:rPr>
          <w:sz w:val="24"/>
        </w:rPr>
      </w:pPr>
      <w:r w:rsidRPr="000B06E2">
        <w:rPr>
          <w:sz w:val="24"/>
        </w:rPr>
        <w:t>S</w:t>
      </w:r>
      <w:r w:rsidR="00BA1813">
        <w:rPr>
          <w:sz w:val="24"/>
        </w:rPr>
        <w:t>upply-Chain Key Performance Indicators</w:t>
      </w:r>
    </w:p>
    <w:p w14:paraId="19948AC5" w14:textId="729C630F" w:rsidR="00677ED6" w:rsidRDefault="00677ED6" w:rsidP="007B3C05">
      <w:pPr>
        <w:spacing w:line="240" w:lineRule="auto"/>
      </w:pPr>
    </w:p>
    <w:p w14:paraId="62BA92E3" w14:textId="27B6518A" w:rsidR="00AF4BB1" w:rsidRPr="00677ED6" w:rsidRDefault="00677ED6" w:rsidP="007B3C05">
      <w:pPr>
        <w:spacing w:line="240" w:lineRule="auto"/>
      </w:pPr>
      <w:r>
        <w:t xml:space="preserve">The following </w:t>
      </w:r>
      <w:r w:rsidR="00C13A48">
        <w:t>key performance indicators (KPIs)</w:t>
      </w:r>
      <w:r>
        <w:t xml:space="preserve"> can be useful </w:t>
      </w:r>
      <w:r w:rsidR="00AE5CE0">
        <w:t xml:space="preserve">in </w:t>
      </w:r>
      <w:r w:rsidR="00C13A48">
        <w:t>monitoring the performance of a supply-chain process. Many of the KPIs</w:t>
      </w:r>
      <w:r w:rsidR="00AF4BB1">
        <w:t xml:space="preserve"> can be tracked for an end-to-end supply chain as well as </w:t>
      </w:r>
      <w:r w:rsidR="00AE5CE0">
        <w:t xml:space="preserve">for </w:t>
      </w:r>
      <w:r w:rsidR="00AF4BB1">
        <w:t xml:space="preserve">a </w:t>
      </w:r>
      <w:r w:rsidR="00AE5CE0">
        <w:t xml:space="preserve">segment or facility </w:t>
      </w:r>
      <w:r w:rsidR="00AF4BB1">
        <w:t>of a supply chain (e.g., health facility, warehouse/store).</w:t>
      </w:r>
    </w:p>
    <w:p w14:paraId="746BF6A2" w14:textId="6CE190F8" w:rsidR="006040CB" w:rsidRDefault="006040CB" w:rsidP="007B3C05">
      <w:pPr>
        <w:spacing w:line="240" w:lineRule="auto"/>
        <w:jc w:val="center"/>
        <w:rPr>
          <w:rFonts w:cstheme="majorHAnsi"/>
          <w:b/>
          <w:bCs/>
          <w:color w:val="000000" w:themeColor="text1"/>
        </w:rPr>
      </w:pPr>
    </w:p>
    <w:p w14:paraId="1ED9E390" w14:textId="457CEB59" w:rsidR="00B53FEE" w:rsidRDefault="00B53FEE" w:rsidP="007B3C05">
      <w:pPr>
        <w:spacing w:line="240" w:lineRule="auto"/>
      </w:pPr>
    </w:p>
    <w:p w14:paraId="7C4C7675" w14:textId="1862E58A" w:rsidR="00FE3EAE" w:rsidRPr="00150499" w:rsidRDefault="00FE3EAE" w:rsidP="00FE3EAE">
      <w:pPr>
        <w:spacing w:line="240" w:lineRule="auto"/>
        <w:rPr>
          <w:rFonts w:eastAsia="Times New Roman" w:cstheme="majorHAnsi"/>
          <w:color w:val="000000" w:themeColor="text1"/>
          <w:szCs w:val="22"/>
        </w:rPr>
      </w:pPr>
      <w:r>
        <w:rPr>
          <w:rFonts w:cstheme="majorHAnsi"/>
          <w:b/>
          <w:bCs/>
          <w:color w:val="000000" w:themeColor="text1"/>
          <w:szCs w:val="22"/>
        </w:rPr>
        <w:t>Cost of Goods</w:t>
      </w:r>
      <w:r w:rsidR="00B97828">
        <w:rPr>
          <w:rFonts w:cstheme="majorHAnsi"/>
          <w:b/>
          <w:bCs/>
          <w:color w:val="000000" w:themeColor="text1"/>
          <w:szCs w:val="22"/>
        </w:rPr>
        <w:t xml:space="preserve"> Sold</w:t>
      </w:r>
      <w:r w:rsidR="002C6861">
        <w:rPr>
          <w:rFonts w:cstheme="majorHAnsi"/>
          <w:b/>
          <w:bCs/>
          <w:color w:val="000000" w:themeColor="text1"/>
          <w:szCs w:val="22"/>
        </w:rPr>
        <w:t>/Distributed</w:t>
      </w:r>
      <w:r>
        <w:rPr>
          <w:rFonts w:cstheme="majorHAnsi"/>
          <w:b/>
          <w:bCs/>
          <w:color w:val="000000" w:themeColor="text1"/>
          <w:szCs w:val="22"/>
        </w:rPr>
        <w:t>:</w:t>
      </w:r>
      <w:r w:rsidRPr="00150499">
        <w:rPr>
          <w:rFonts w:cstheme="majorHAnsi"/>
          <w:color w:val="000000" w:themeColor="text1"/>
          <w:szCs w:val="22"/>
        </w:rPr>
        <w:t xml:space="preserve">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The </w:t>
      </w:r>
      <w:r w:rsidR="00D52F87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cost for </w:t>
      </w:r>
      <w:r w:rsidR="00944F18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selling or </w:t>
      </w:r>
      <w:r w:rsidR="00D52F87">
        <w:rPr>
          <w:rFonts w:eastAsia="Times New Roman" w:cstheme="majorHAnsi"/>
          <w:color w:val="000000" w:themeColor="text1"/>
          <w:szCs w:val="22"/>
          <w:shd w:val="clear" w:color="auto" w:fill="FFFFFF"/>
        </w:rPr>
        <w:t>distributing all goods</w:t>
      </w:r>
      <w:r w:rsidR="000F7E87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or </w:t>
      </w:r>
      <w:r w:rsidR="00D52F87">
        <w:rPr>
          <w:rFonts w:eastAsia="Times New Roman" w:cstheme="majorHAnsi"/>
          <w:color w:val="000000" w:themeColor="text1"/>
          <w:szCs w:val="22"/>
          <w:shd w:val="clear" w:color="auto" w:fill="FFFFFF"/>
        </w:rPr>
        <w:t>commodities for a given period</w:t>
      </w:r>
      <w:r>
        <w:rPr>
          <w:rFonts w:eastAsia="Times New Roman" w:cstheme="majorHAnsi"/>
          <w:color w:val="000000" w:themeColor="text1"/>
          <w:szCs w:val="22"/>
          <w:shd w:val="clear" w:color="auto" w:fill="FFFFFF"/>
        </w:rPr>
        <w:t>.</w:t>
      </w:r>
    </w:p>
    <w:p w14:paraId="1C695699" w14:textId="13408388" w:rsidR="00FE3EAE" w:rsidRDefault="002C6861" w:rsidP="00A65063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Cost of goods</w:t>
      </w:r>
      <w:r w:rsidR="00AE5CE0">
        <w:rPr>
          <w:rFonts w:cstheme="majorHAnsi"/>
          <w:i/>
          <w:iCs/>
          <w:szCs w:val="22"/>
        </w:rPr>
        <w:t xml:space="preserve"> </w:t>
      </w:r>
      <w:r w:rsidR="000F7E87">
        <w:rPr>
          <w:rFonts w:cstheme="majorHAnsi"/>
          <w:i/>
          <w:iCs/>
          <w:szCs w:val="22"/>
        </w:rPr>
        <w:t>or</w:t>
      </w:r>
      <w:r w:rsidR="00AE5CE0">
        <w:rPr>
          <w:rFonts w:cstheme="majorHAnsi"/>
          <w:i/>
          <w:iCs/>
          <w:szCs w:val="22"/>
        </w:rPr>
        <w:t xml:space="preserve"> </w:t>
      </w:r>
      <w:r>
        <w:rPr>
          <w:rFonts w:cstheme="majorHAnsi"/>
          <w:i/>
          <w:iCs/>
          <w:szCs w:val="22"/>
        </w:rPr>
        <w:t>commodities</w:t>
      </w:r>
      <w:r w:rsidR="000219FF">
        <w:rPr>
          <w:rFonts w:cstheme="majorHAnsi"/>
          <w:i/>
          <w:iCs/>
          <w:szCs w:val="22"/>
        </w:rPr>
        <w:t xml:space="preserve"> </w:t>
      </w:r>
      <w:r w:rsidR="00AE5CE0">
        <w:rPr>
          <w:rFonts w:cstheme="majorHAnsi"/>
          <w:i/>
          <w:iCs/>
          <w:szCs w:val="22"/>
        </w:rPr>
        <w:t xml:space="preserve">in inventory </w:t>
      </w:r>
      <w:r w:rsidR="000219FF">
        <w:rPr>
          <w:rFonts w:cstheme="majorHAnsi"/>
          <w:i/>
          <w:iCs/>
          <w:szCs w:val="22"/>
        </w:rPr>
        <w:t>at start of period</w:t>
      </w:r>
      <w:r w:rsidR="005E59E0">
        <w:rPr>
          <w:rFonts w:cstheme="majorHAnsi"/>
          <w:i/>
          <w:iCs/>
          <w:szCs w:val="22"/>
        </w:rPr>
        <w:t xml:space="preserve"> </w:t>
      </w:r>
      <w:r w:rsidR="00485B96">
        <w:rPr>
          <w:rFonts w:cstheme="majorHAnsi"/>
          <w:i/>
          <w:iCs/>
          <w:szCs w:val="22"/>
        </w:rPr>
        <w:t xml:space="preserve">+ </w:t>
      </w:r>
      <w:r w:rsidR="00AE5CE0">
        <w:rPr>
          <w:rFonts w:cstheme="majorHAnsi"/>
          <w:i/>
          <w:iCs/>
          <w:szCs w:val="22"/>
        </w:rPr>
        <w:t xml:space="preserve">Cost of </w:t>
      </w:r>
      <w:r>
        <w:rPr>
          <w:rFonts w:cstheme="majorHAnsi"/>
          <w:i/>
          <w:iCs/>
          <w:szCs w:val="22"/>
        </w:rPr>
        <w:t>good</w:t>
      </w:r>
      <w:r w:rsidR="00AE5CE0">
        <w:rPr>
          <w:rFonts w:cstheme="majorHAnsi"/>
          <w:i/>
          <w:iCs/>
          <w:szCs w:val="22"/>
        </w:rPr>
        <w:t>s</w:t>
      </w:r>
      <w:r w:rsidR="000F7E87">
        <w:rPr>
          <w:rFonts w:cstheme="majorHAnsi"/>
          <w:i/>
          <w:iCs/>
          <w:szCs w:val="22"/>
        </w:rPr>
        <w:t xml:space="preserve"> or </w:t>
      </w:r>
      <w:r>
        <w:rPr>
          <w:rFonts w:cstheme="majorHAnsi"/>
          <w:i/>
          <w:iCs/>
          <w:szCs w:val="22"/>
        </w:rPr>
        <w:t>commodities</w:t>
      </w:r>
      <w:r w:rsidR="00A65063">
        <w:rPr>
          <w:rFonts w:cstheme="majorHAnsi"/>
          <w:i/>
          <w:iCs/>
          <w:szCs w:val="22"/>
        </w:rPr>
        <w:t xml:space="preserve"> </w:t>
      </w:r>
      <w:r w:rsidR="00AE5CE0">
        <w:rPr>
          <w:rFonts w:cstheme="majorHAnsi"/>
          <w:i/>
          <w:iCs/>
          <w:szCs w:val="22"/>
        </w:rPr>
        <w:t xml:space="preserve">purchased </w:t>
      </w:r>
      <w:r w:rsidR="00A65063">
        <w:rPr>
          <w:rFonts w:cstheme="majorHAnsi"/>
          <w:i/>
          <w:iCs/>
          <w:szCs w:val="22"/>
        </w:rPr>
        <w:t>during the period</w:t>
      </w:r>
      <w:r w:rsidR="000219FF">
        <w:rPr>
          <w:rFonts w:cstheme="majorHAnsi"/>
          <w:i/>
          <w:iCs/>
          <w:szCs w:val="22"/>
        </w:rPr>
        <w:t xml:space="preserve"> </w:t>
      </w:r>
      <w:r w:rsidR="00A65063">
        <w:rPr>
          <w:rFonts w:cstheme="majorHAnsi"/>
          <w:i/>
          <w:iCs/>
          <w:szCs w:val="22"/>
        </w:rPr>
        <w:br/>
      </w:r>
      <w:r w:rsidR="00B97828">
        <w:rPr>
          <w:rFonts w:cstheme="majorHAnsi"/>
          <w:i/>
          <w:iCs/>
          <w:szCs w:val="22"/>
        </w:rPr>
        <w:t>–</w:t>
      </w:r>
      <w:r w:rsidR="00FE3EAE">
        <w:rPr>
          <w:rFonts w:cstheme="majorHAnsi"/>
          <w:i/>
          <w:iCs/>
          <w:szCs w:val="22"/>
        </w:rPr>
        <w:t xml:space="preserve"> </w:t>
      </w:r>
      <w:r>
        <w:rPr>
          <w:rFonts w:cstheme="majorHAnsi"/>
          <w:i/>
          <w:iCs/>
          <w:szCs w:val="22"/>
        </w:rPr>
        <w:t xml:space="preserve"> Cost of goods</w:t>
      </w:r>
      <w:r w:rsidR="000F7E87">
        <w:rPr>
          <w:rFonts w:cstheme="majorHAnsi"/>
          <w:i/>
          <w:iCs/>
          <w:szCs w:val="22"/>
        </w:rPr>
        <w:t xml:space="preserve"> or</w:t>
      </w:r>
      <w:r w:rsidR="00AE5CE0">
        <w:rPr>
          <w:rFonts w:cstheme="majorHAnsi"/>
          <w:i/>
          <w:iCs/>
          <w:szCs w:val="22"/>
        </w:rPr>
        <w:t xml:space="preserve"> </w:t>
      </w:r>
      <w:r>
        <w:rPr>
          <w:rFonts w:cstheme="majorHAnsi"/>
          <w:i/>
          <w:iCs/>
          <w:szCs w:val="22"/>
        </w:rPr>
        <w:t>commodities</w:t>
      </w:r>
      <w:r w:rsidR="00B97828">
        <w:rPr>
          <w:rFonts w:cstheme="majorHAnsi"/>
          <w:i/>
          <w:iCs/>
          <w:szCs w:val="22"/>
        </w:rPr>
        <w:t xml:space="preserve"> </w:t>
      </w:r>
      <w:r w:rsidR="00AE5CE0">
        <w:rPr>
          <w:rFonts w:cstheme="majorHAnsi"/>
          <w:i/>
          <w:iCs/>
          <w:szCs w:val="22"/>
        </w:rPr>
        <w:t xml:space="preserve">in inventory </w:t>
      </w:r>
      <w:r w:rsidR="00B97828">
        <w:rPr>
          <w:rFonts w:cstheme="majorHAnsi"/>
          <w:i/>
          <w:iCs/>
          <w:szCs w:val="22"/>
        </w:rPr>
        <w:t>at end of period</w:t>
      </w:r>
      <w:r w:rsidR="00FE3EAE">
        <w:rPr>
          <w:rFonts w:cstheme="majorHAnsi"/>
          <w:i/>
          <w:iCs/>
          <w:szCs w:val="22"/>
        </w:rPr>
        <w:t xml:space="preserve"> = </w:t>
      </w:r>
      <w:r w:rsidR="00D00109">
        <w:rPr>
          <w:rFonts w:cstheme="majorHAnsi"/>
          <w:i/>
          <w:iCs/>
          <w:szCs w:val="22"/>
        </w:rPr>
        <w:t>Cost of goods sold</w:t>
      </w:r>
      <w:r w:rsidR="00AE5CE0">
        <w:rPr>
          <w:rFonts w:cstheme="majorHAnsi"/>
          <w:i/>
          <w:iCs/>
          <w:szCs w:val="22"/>
        </w:rPr>
        <w:t xml:space="preserve"> </w:t>
      </w:r>
      <w:r w:rsidR="000F7E87">
        <w:rPr>
          <w:rFonts w:cstheme="majorHAnsi"/>
          <w:i/>
          <w:iCs/>
          <w:szCs w:val="22"/>
        </w:rPr>
        <w:t xml:space="preserve">or </w:t>
      </w:r>
      <w:r>
        <w:rPr>
          <w:rFonts w:cstheme="majorHAnsi"/>
          <w:i/>
          <w:iCs/>
          <w:szCs w:val="22"/>
        </w:rPr>
        <w:t>distributed</w:t>
      </w:r>
      <w:r w:rsidR="00AE5CE0">
        <w:rPr>
          <w:rFonts w:cstheme="majorHAnsi"/>
          <w:i/>
          <w:iCs/>
          <w:szCs w:val="22"/>
        </w:rPr>
        <w:t xml:space="preserve"> during the period </w:t>
      </w:r>
    </w:p>
    <w:p w14:paraId="0251E380" w14:textId="77777777" w:rsidR="00FE3EAE" w:rsidRDefault="00FE3EAE" w:rsidP="00247ABC">
      <w:pPr>
        <w:spacing w:line="240" w:lineRule="auto"/>
        <w:rPr>
          <w:rFonts w:cstheme="majorHAnsi"/>
          <w:b/>
          <w:bCs/>
          <w:color w:val="000000" w:themeColor="text1"/>
          <w:szCs w:val="22"/>
        </w:rPr>
      </w:pPr>
    </w:p>
    <w:p w14:paraId="5C1C2D45" w14:textId="6B87EA42" w:rsidR="00247ABC" w:rsidRPr="00150499" w:rsidRDefault="00247ABC" w:rsidP="00247ABC">
      <w:pPr>
        <w:spacing w:line="240" w:lineRule="auto"/>
        <w:rPr>
          <w:rFonts w:eastAsia="Times New Roman" w:cstheme="majorHAnsi"/>
          <w:color w:val="000000" w:themeColor="text1"/>
          <w:szCs w:val="22"/>
        </w:rPr>
      </w:pPr>
      <w:r>
        <w:rPr>
          <w:rFonts w:cstheme="majorHAnsi"/>
          <w:b/>
          <w:bCs/>
          <w:color w:val="000000" w:themeColor="text1"/>
          <w:szCs w:val="22"/>
        </w:rPr>
        <w:t xml:space="preserve">Expired </w:t>
      </w:r>
      <w:r w:rsidR="00680A14">
        <w:rPr>
          <w:rFonts w:cstheme="majorHAnsi"/>
          <w:b/>
          <w:bCs/>
          <w:color w:val="000000" w:themeColor="text1"/>
          <w:szCs w:val="22"/>
        </w:rPr>
        <w:t xml:space="preserve">Goods </w:t>
      </w:r>
      <w:r w:rsidRPr="00150499">
        <w:rPr>
          <w:rFonts w:cstheme="majorHAnsi"/>
          <w:b/>
          <w:bCs/>
          <w:color w:val="000000" w:themeColor="text1"/>
          <w:szCs w:val="22"/>
        </w:rPr>
        <w:t>Percentage:</w:t>
      </w:r>
      <w:r w:rsidRPr="00150499">
        <w:rPr>
          <w:rFonts w:cstheme="majorHAnsi"/>
          <w:color w:val="000000" w:themeColor="text1"/>
          <w:szCs w:val="22"/>
        </w:rPr>
        <w:t xml:space="preserve">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The percentage of goods</w:t>
      </w:r>
      <w:r w:rsidR="000F7E87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or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commodities </w:t>
      </w:r>
      <w:r w:rsidR="00AE5CE0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that </w:t>
      </w:r>
      <w:r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expired </w:t>
      </w:r>
      <w:r w:rsidR="00AE5CE0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during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given period </w:t>
      </w:r>
      <w:r w:rsidR="002C745A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while in </w:t>
      </w:r>
      <w:r w:rsidR="00AE5CE0">
        <w:rPr>
          <w:rFonts w:eastAsia="Times New Roman" w:cstheme="majorHAnsi"/>
          <w:color w:val="000000" w:themeColor="text1"/>
          <w:szCs w:val="22"/>
          <w:shd w:val="clear" w:color="auto" w:fill="FFFFFF"/>
        </w:rPr>
        <w:t>inventory</w:t>
      </w:r>
      <w:r w:rsidR="002C745A">
        <w:rPr>
          <w:rFonts w:eastAsia="Times New Roman" w:cstheme="majorHAnsi"/>
          <w:color w:val="000000" w:themeColor="text1"/>
          <w:szCs w:val="22"/>
          <w:shd w:val="clear" w:color="auto" w:fill="FFFFFF"/>
        </w:rPr>
        <w:t>.</w:t>
      </w:r>
    </w:p>
    <w:p w14:paraId="4001A33B" w14:textId="1311F8E1" w:rsidR="00247ABC" w:rsidRDefault="00AE5CE0" w:rsidP="00247ABC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(</w:t>
      </w:r>
      <w:r w:rsidR="00247ABC">
        <w:rPr>
          <w:rFonts w:cstheme="majorHAnsi"/>
          <w:i/>
          <w:iCs/>
          <w:szCs w:val="22"/>
        </w:rPr>
        <w:t>Volume of goods</w:t>
      </w:r>
      <w:r>
        <w:rPr>
          <w:rFonts w:cstheme="majorHAnsi"/>
          <w:i/>
          <w:iCs/>
          <w:szCs w:val="22"/>
        </w:rPr>
        <w:t xml:space="preserve"> </w:t>
      </w:r>
      <w:r w:rsidR="000F7E87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247ABC">
        <w:rPr>
          <w:rFonts w:cstheme="majorHAnsi"/>
          <w:i/>
          <w:iCs/>
          <w:szCs w:val="22"/>
        </w:rPr>
        <w:t xml:space="preserve">commodities </w:t>
      </w:r>
      <w:r w:rsidR="002C745A">
        <w:rPr>
          <w:rFonts w:cstheme="majorHAnsi"/>
          <w:i/>
          <w:iCs/>
          <w:szCs w:val="22"/>
        </w:rPr>
        <w:t>expired</w:t>
      </w:r>
      <w:r w:rsidR="00247ABC">
        <w:rPr>
          <w:rFonts w:cstheme="majorHAnsi"/>
          <w:i/>
          <w:iCs/>
          <w:szCs w:val="22"/>
        </w:rPr>
        <w:t xml:space="preserve"> </w:t>
      </w:r>
      <w:r>
        <w:rPr>
          <w:rFonts w:cstheme="majorHAnsi"/>
          <w:i/>
          <w:iCs/>
          <w:szCs w:val="22"/>
        </w:rPr>
        <w:t xml:space="preserve">during </w:t>
      </w:r>
      <w:r w:rsidR="00247ABC">
        <w:rPr>
          <w:rFonts w:cstheme="majorHAnsi"/>
          <w:i/>
          <w:iCs/>
          <w:szCs w:val="22"/>
        </w:rPr>
        <w:t>the period</w:t>
      </w:r>
      <w:r w:rsidR="00247ABC" w:rsidRPr="002B13D8">
        <w:rPr>
          <w:rFonts w:cstheme="majorHAnsi"/>
          <w:i/>
          <w:iCs/>
          <w:szCs w:val="22"/>
        </w:rPr>
        <w:t xml:space="preserve"> / </w:t>
      </w:r>
      <w:r w:rsidR="00247ABC">
        <w:rPr>
          <w:rFonts w:cstheme="majorHAnsi"/>
          <w:i/>
          <w:iCs/>
          <w:szCs w:val="22"/>
        </w:rPr>
        <w:t>Total volume of goods</w:t>
      </w:r>
      <w:r>
        <w:rPr>
          <w:rFonts w:cstheme="majorHAnsi"/>
          <w:i/>
          <w:iCs/>
          <w:szCs w:val="22"/>
        </w:rPr>
        <w:t xml:space="preserve"> </w:t>
      </w:r>
      <w:r w:rsidR="000F7E87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247ABC">
        <w:rPr>
          <w:rFonts w:cstheme="majorHAnsi"/>
          <w:i/>
          <w:iCs/>
          <w:szCs w:val="22"/>
        </w:rPr>
        <w:t>commodities</w:t>
      </w:r>
      <w:r w:rsidR="002C745A">
        <w:rPr>
          <w:rFonts w:cstheme="majorHAnsi"/>
          <w:i/>
          <w:iCs/>
          <w:szCs w:val="22"/>
        </w:rPr>
        <w:t xml:space="preserve"> in stock </w:t>
      </w:r>
      <w:r>
        <w:rPr>
          <w:rFonts w:cstheme="majorHAnsi"/>
          <w:i/>
          <w:iCs/>
          <w:szCs w:val="22"/>
        </w:rPr>
        <w:t xml:space="preserve">during </w:t>
      </w:r>
      <w:r w:rsidR="00247ABC">
        <w:rPr>
          <w:rFonts w:cstheme="majorHAnsi"/>
          <w:i/>
          <w:iCs/>
          <w:szCs w:val="22"/>
        </w:rPr>
        <w:t>the period</w:t>
      </w:r>
      <w:r>
        <w:rPr>
          <w:rFonts w:cstheme="majorHAnsi"/>
          <w:i/>
          <w:iCs/>
          <w:szCs w:val="22"/>
        </w:rPr>
        <w:t>)</w:t>
      </w:r>
      <w:r w:rsidR="00247ABC">
        <w:rPr>
          <w:rFonts w:cstheme="majorHAnsi"/>
          <w:i/>
          <w:iCs/>
          <w:szCs w:val="22"/>
        </w:rPr>
        <w:t xml:space="preserve"> X 100 = </w:t>
      </w:r>
      <w:r w:rsidR="00680A14">
        <w:rPr>
          <w:rFonts w:cstheme="majorHAnsi"/>
          <w:i/>
          <w:iCs/>
          <w:szCs w:val="22"/>
        </w:rPr>
        <w:t>Expired goods</w:t>
      </w:r>
      <w:r w:rsidR="0074637A">
        <w:rPr>
          <w:rFonts w:cstheme="majorHAnsi"/>
          <w:i/>
          <w:iCs/>
          <w:szCs w:val="22"/>
        </w:rPr>
        <w:t xml:space="preserve"> </w:t>
      </w:r>
      <w:r w:rsidR="00247ABC">
        <w:rPr>
          <w:rFonts w:cstheme="majorHAnsi"/>
          <w:i/>
          <w:iCs/>
          <w:szCs w:val="22"/>
        </w:rPr>
        <w:t>percentage</w:t>
      </w:r>
      <w:r w:rsidR="00247ABC" w:rsidRPr="002B13D8">
        <w:rPr>
          <w:rFonts w:cstheme="majorHAnsi"/>
          <w:i/>
          <w:iCs/>
          <w:szCs w:val="22"/>
        </w:rPr>
        <w:t xml:space="preserve"> </w:t>
      </w:r>
      <w:r w:rsidR="00247ABC">
        <w:rPr>
          <w:rFonts w:cstheme="majorHAnsi"/>
          <w:i/>
          <w:iCs/>
          <w:szCs w:val="22"/>
        </w:rPr>
        <w:t>%</w:t>
      </w:r>
    </w:p>
    <w:p w14:paraId="3EE9EB13" w14:textId="77777777" w:rsidR="00247ABC" w:rsidRDefault="00247ABC" w:rsidP="009E085A">
      <w:pPr>
        <w:spacing w:before="120" w:line="240" w:lineRule="auto"/>
        <w:rPr>
          <w:b/>
          <w:bCs/>
        </w:rPr>
      </w:pPr>
    </w:p>
    <w:p w14:paraId="3D26F361" w14:textId="7B78448A" w:rsidR="004E00F7" w:rsidRDefault="004E00F7" w:rsidP="004E00F7">
      <w:pPr>
        <w:spacing w:before="120" w:line="240" w:lineRule="auto"/>
      </w:pPr>
      <w:r>
        <w:rPr>
          <w:b/>
          <w:bCs/>
        </w:rPr>
        <w:t xml:space="preserve">Inventory Accuracy Percentage: </w:t>
      </w:r>
      <w:r w:rsidRPr="004949DD">
        <w:t xml:space="preserve">The </w:t>
      </w:r>
      <w:r>
        <w:t>percentage of</w:t>
      </w:r>
      <w:r w:rsidRPr="004949DD">
        <w:t xml:space="preserve"> inventory</w:t>
      </w:r>
      <w:r w:rsidR="00AE5CE0">
        <w:t xml:space="preserve">, physically </w:t>
      </w:r>
      <w:r w:rsidR="00BE4E86">
        <w:t>counted</w:t>
      </w:r>
      <w:r w:rsidR="00AE5CE0">
        <w:t>,</w:t>
      </w:r>
      <w:r w:rsidRPr="004949DD">
        <w:t xml:space="preserve"> </w:t>
      </w:r>
      <w:r w:rsidR="00AE5CE0">
        <w:t>vs.</w:t>
      </w:r>
      <w:r w:rsidR="00BE4E86">
        <w:t xml:space="preserve"> record</w:t>
      </w:r>
      <w:r w:rsidR="00AE5CE0">
        <w:t>ed</w:t>
      </w:r>
      <w:r w:rsidR="00BE4E86">
        <w:t xml:space="preserve"> inventory</w:t>
      </w:r>
      <w:r w:rsidR="00BE0CEA">
        <w:t xml:space="preserve"> (e.g., inventory database)</w:t>
      </w:r>
      <w:r>
        <w:t>.</w:t>
      </w:r>
      <w:r w:rsidR="00F23B4B">
        <w:t xml:space="preserve"> </w:t>
      </w:r>
    </w:p>
    <w:p w14:paraId="1A53B578" w14:textId="4FEA4F87" w:rsidR="004E00F7" w:rsidRDefault="00AE5CE0" w:rsidP="004E00F7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66565D">
        <w:rPr>
          <w:i/>
          <w:iCs/>
        </w:rPr>
        <w:t>I</w:t>
      </w:r>
      <w:r w:rsidR="006211D5">
        <w:rPr>
          <w:i/>
          <w:iCs/>
        </w:rPr>
        <w:t>nventory count</w:t>
      </w:r>
      <w:r w:rsidR="0066565D">
        <w:rPr>
          <w:i/>
          <w:iCs/>
        </w:rPr>
        <w:t xml:space="preserve"> by SKU</w:t>
      </w:r>
      <w:r w:rsidR="006211D5">
        <w:rPr>
          <w:i/>
          <w:iCs/>
        </w:rPr>
        <w:t xml:space="preserve"> consistent with records</w:t>
      </w:r>
      <w:r w:rsidR="004E00F7" w:rsidRPr="00664B6F">
        <w:rPr>
          <w:i/>
          <w:iCs/>
        </w:rPr>
        <w:t xml:space="preserve"> / </w:t>
      </w:r>
      <w:r w:rsidR="00A4777C">
        <w:rPr>
          <w:i/>
          <w:iCs/>
        </w:rPr>
        <w:t>Total</w:t>
      </w:r>
      <w:r w:rsidR="004E00F7" w:rsidRPr="00664B6F">
        <w:rPr>
          <w:i/>
          <w:iCs/>
        </w:rPr>
        <w:t xml:space="preserve"> </w:t>
      </w:r>
      <w:r w:rsidR="0066565D">
        <w:rPr>
          <w:i/>
          <w:iCs/>
        </w:rPr>
        <w:t>SKUs</w:t>
      </w:r>
      <w:r w:rsidR="006211D5">
        <w:rPr>
          <w:i/>
          <w:iCs/>
        </w:rPr>
        <w:t xml:space="preserve"> recorded</w:t>
      </w:r>
      <w:r>
        <w:rPr>
          <w:i/>
          <w:iCs/>
        </w:rPr>
        <w:t>)</w:t>
      </w:r>
      <w:r w:rsidR="006211D5">
        <w:rPr>
          <w:i/>
          <w:iCs/>
        </w:rPr>
        <w:t xml:space="preserve"> X 100</w:t>
      </w:r>
      <w:r w:rsidR="004E00F7" w:rsidRPr="00664B6F">
        <w:rPr>
          <w:i/>
          <w:iCs/>
        </w:rPr>
        <w:t xml:space="preserve"> </w:t>
      </w:r>
      <w:r w:rsidR="00A4777C">
        <w:rPr>
          <w:i/>
          <w:iCs/>
        </w:rPr>
        <w:br/>
      </w:r>
      <w:r w:rsidR="004E00F7" w:rsidRPr="00664B6F">
        <w:rPr>
          <w:i/>
          <w:iCs/>
        </w:rPr>
        <w:t>=</w:t>
      </w:r>
      <w:r>
        <w:rPr>
          <w:i/>
          <w:iCs/>
        </w:rPr>
        <w:t xml:space="preserve"> </w:t>
      </w:r>
      <w:r w:rsidR="006211D5">
        <w:rPr>
          <w:i/>
          <w:iCs/>
        </w:rPr>
        <w:t>Inventory accuracy percentage</w:t>
      </w:r>
    </w:p>
    <w:p w14:paraId="31A01A53" w14:textId="08CD8449" w:rsidR="0066565D" w:rsidRPr="0066565D" w:rsidRDefault="0066565D" w:rsidP="004E00F7">
      <w:pPr>
        <w:spacing w:before="120" w:line="240" w:lineRule="auto"/>
        <w:jc w:val="center"/>
      </w:pPr>
      <w:r w:rsidRPr="0066565D">
        <w:t>OR</w:t>
      </w:r>
    </w:p>
    <w:p w14:paraId="62DD3E57" w14:textId="0C956DD8" w:rsidR="0066565D" w:rsidRDefault="00AE5CE0" w:rsidP="0066565D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A4777C">
        <w:rPr>
          <w:i/>
          <w:iCs/>
        </w:rPr>
        <w:t>Total i</w:t>
      </w:r>
      <w:r w:rsidR="0066565D">
        <w:rPr>
          <w:i/>
          <w:iCs/>
        </w:rPr>
        <w:t>nventory</w:t>
      </w:r>
      <w:r w:rsidR="009D7FE2">
        <w:rPr>
          <w:i/>
          <w:iCs/>
        </w:rPr>
        <w:t xml:space="preserve"> </w:t>
      </w:r>
      <w:r w:rsidR="0066565D">
        <w:rPr>
          <w:i/>
          <w:iCs/>
        </w:rPr>
        <w:t>count consistent with records</w:t>
      </w:r>
      <w:r w:rsidR="0066565D" w:rsidRPr="00664B6F">
        <w:rPr>
          <w:i/>
          <w:iCs/>
        </w:rPr>
        <w:t xml:space="preserve"> / </w:t>
      </w:r>
      <w:r w:rsidR="00A4777C">
        <w:rPr>
          <w:i/>
          <w:iCs/>
        </w:rPr>
        <w:t>Total inventory</w:t>
      </w:r>
      <w:r w:rsidR="0066565D">
        <w:rPr>
          <w:i/>
          <w:iCs/>
        </w:rPr>
        <w:t xml:space="preserve"> recorded</w:t>
      </w:r>
      <w:r>
        <w:rPr>
          <w:i/>
          <w:iCs/>
        </w:rPr>
        <w:t>)</w:t>
      </w:r>
      <w:r w:rsidR="0066565D">
        <w:rPr>
          <w:i/>
          <w:iCs/>
        </w:rPr>
        <w:t xml:space="preserve"> X 100</w:t>
      </w:r>
      <w:r w:rsidR="0066565D" w:rsidRPr="00664B6F">
        <w:rPr>
          <w:i/>
          <w:iCs/>
        </w:rPr>
        <w:t xml:space="preserve"> </w:t>
      </w:r>
      <w:r w:rsidR="00A4777C">
        <w:rPr>
          <w:i/>
          <w:iCs/>
        </w:rPr>
        <w:br/>
      </w:r>
      <w:r w:rsidR="0066565D" w:rsidRPr="00664B6F">
        <w:rPr>
          <w:i/>
          <w:iCs/>
        </w:rPr>
        <w:t>=</w:t>
      </w:r>
      <w:r>
        <w:rPr>
          <w:i/>
          <w:iCs/>
        </w:rPr>
        <w:t xml:space="preserve"> </w:t>
      </w:r>
      <w:r w:rsidR="0066565D">
        <w:rPr>
          <w:i/>
          <w:iCs/>
        </w:rPr>
        <w:t>Inventory accuracy percentage</w:t>
      </w:r>
    </w:p>
    <w:p w14:paraId="4F589DFD" w14:textId="77777777" w:rsidR="0066565D" w:rsidRPr="00664B6F" w:rsidRDefault="0066565D" w:rsidP="004E00F7">
      <w:pPr>
        <w:spacing w:before="120" w:line="240" w:lineRule="auto"/>
        <w:jc w:val="center"/>
        <w:rPr>
          <w:i/>
          <w:iCs/>
        </w:rPr>
      </w:pPr>
    </w:p>
    <w:p w14:paraId="151C96E1" w14:textId="064D60E4" w:rsidR="00003EBF" w:rsidRDefault="00003EBF" w:rsidP="009E085A">
      <w:pPr>
        <w:spacing w:before="120" w:line="240" w:lineRule="auto"/>
      </w:pPr>
      <w:r>
        <w:rPr>
          <w:b/>
          <w:bCs/>
        </w:rPr>
        <w:t>Inventory Days of Supply</w:t>
      </w:r>
      <w:r w:rsidR="00664B6F">
        <w:rPr>
          <w:b/>
          <w:bCs/>
        </w:rPr>
        <w:t xml:space="preserve"> (DoS)</w:t>
      </w:r>
      <w:r>
        <w:rPr>
          <w:b/>
          <w:bCs/>
        </w:rPr>
        <w:t xml:space="preserve">: </w:t>
      </w:r>
      <w:r w:rsidRPr="004949DD">
        <w:t>The amount of inventory (stock)</w:t>
      </w:r>
      <w:r w:rsidR="00AE5CE0">
        <w:t>,</w:t>
      </w:r>
      <w:r w:rsidR="004949DD" w:rsidRPr="004949DD">
        <w:t xml:space="preserve"> expressed in days of usage</w:t>
      </w:r>
      <w:r w:rsidR="004949DD">
        <w:t xml:space="preserve">, which measures the number of days </w:t>
      </w:r>
      <w:r w:rsidR="00AE5CE0">
        <w:t xml:space="preserve">of </w:t>
      </w:r>
      <w:r w:rsidR="004949DD">
        <w:t>fund</w:t>
      </w:r>
      <w:r w:rsidR="00AE5CE0">
        <w:t>ing</w:t>
      </w:r>
      <w:r w:rsidR="004949DD">
        <w:t xml:space="preserve"> tied up in inventory.</w:t>
      </w:r>
    </w:p>
    <w:p w14:paraId="6B5814BD" w14:textId="22F4576B" w:rsidR="004949DD" w:rsidRPr="00664B6F" w:rsidRDefault="004949DD" w:rsidP="00664B6F">
      <w:pPr>
        <w:spacing w:before="120" w:line="240" w:lineRule="auto"/>
        <w:jc w:val="center"/>
        <w:rPr>
          <w:i/>
          <w:iCs/>
        </w:rPr>
      </w:pPr>
      <w:r w:rsidRPr="00664B6F">
        <w:rPr>
          <w:i/>
          <w:iCs/>
        </w:rPr>
        <w:t xml:space="preserve">Gross </w:t>
      </w:r>
      <w:r w:rsidR="00257C44">
        <w:rPr>
          <w:i/>
          <w:iCs/>
        </w:rPr>
        <w:t>v</w:t>
      </w:r>
      <w:r w:rsidRPr="00664B6F">
        <w:rPr>
          <w:i/>
          <w:iCs/>
        </w:rPr>
        <w:t>alue of</w:t>
      </w:r>
      <w:r w:rsidR="00257C44">
        <w:rPr>
          <w:i/>
          <w:iCs/>
        </w:rPr>
        <w:t xml:space="preserve"> i</w:t>
      </w:r>
      <w:r w:rsidRPr="00664B6F">
        <w:rPr>
          <w:i/>
          <w:iCs/>
        </w:rPr>
        <w:t>nventory</w:t>
      </w:r>
      <w:r w:rsidR="00AE5CE0">
        <w:rPr>
          <w:i/>
          <w:iCs/>
        </w:rPr>
        <w:t xml:space="preserve"> </w:t>
      </w:r>
      <w:r w:rsidRPr="00664B6F">
        <w:rPr>
          <w:i/>
          <w:iCs/>
        </w:rPr>
        <w:t>at standard cos</w:t>
      </w:r>
      <w:r w:rsidR="00AE5CE0">
        <w:rPr>
          <w:i/>
          <w:iCs/>
        </w:rPr>
        <w:t>t</w:t>
      </w:r>
      <w:r w:rsidRPr="00664B6F">
        <w:rPr>
          <w:i/>
          <w:iCs/>
        </w:rPr>
        <w:t xml:space="preserve"> / </w:t>
      </w:r>
      <w:r w:rsidR="00117CFE" w:rsidRPr="00664B6F">
        <w:rPr>
          <w:i/>
          <w:iCs/>
        </w:rPr>
        <w:t xml:space="preserve">Cost of </w:t>
      </w:r>
      <w:r w:rsidR="00257C44">
        <w:rPr>
          <w:i/>
          <w:iCs/>
        </w:rPr>
        <w:t>o</w:t>
      </w:r>
      <w:r w:rsidR="00117CFE" w:rsidRPr="00664B6F">
        <w:rPr>
          <w:i/>
          <w:iCs/>
        </w:rPr>
        <w:t xml:space="preserve">ne </w:t>
      </w:r>
      <w:r w:rsidR="00257C44">
        <w:rPr>
          <w:i/>
          <w:iCs/>
        </w:rPr>
        <w:t>d</w:t>
      </w:r>
      <w:r w:rsidR="00117CFE" w:rsidRPr="00664B6F">
        <w:rPr>
          <w:i/>
          <w:iCs/>
        </w:rPr>
        <w:t>ay</w:t>
      </w:r>
      <w:r w:rsidR="00257C44">
        <w:rPr>
          <w:i/>
          <w:iCs/>
        </w:rPr>
        <w:t>’s</w:t>
      </w:r>
      <w:r w:rsidR="00117CFE" w:rsidRPr="00664B6F">
        <w:rPr>
          <w:i/>
          <w:iCs/>
        </w:rPr>
        <w:t xml:space="preserve"> </w:t>
      </w:r>
      <w:r w:rsidR="00257C44">
        <w:rPr>
          <w:i/>
          <w:iCs/>
        </w:rPr>
        <w:t>u</w:t>
      </w:r>
      <w:r w:rsidR="00117CFE" w:rsidRPr="00664B6F">
        <w:rPr>
          <w:i/>
          <w:iCs/>
        </w:rPr>
        <w:t xml:space="preserve">sage of </w:t>
      </w:r>
      <w:r w:rsidR="00257C44">
        <w:rPr>
          <w:i/>
          <w:iCs/>
        </w:rPr>
        <w:t>i</w:t>
      </w:r>
      <w:r w:rsidR="00117CFE" w:rsidRPr="00664B6F">
        <w:rPr>
          <w:i/>
          <w:iCs/>
        </w:rPr>
        <w:t xml:space="preserve">nventory </w:t>
      </w:r>
      <w:r w:rsidR="00AE5CE0" w:rsidRPr="00664B6F">
        <w:rPr>
          <w:i/>
          <w:iCs/>
        </w:rPr>
        <w:t>at standard cos</w:t>
      </w:r>
      <w:r w:rsidR="00AE5CE0">
        <w:rPr>
          <w:i/>
          <w:iCs/>
        </w:rPr>
        <w:t>t</w:t>
      </w:r>
      <w:r w:rsidR="00AE5CE0" w:rsidRPr="00664B6F">
        <w:rPr>
          <w:i/>
          <w:iCs/>
        </w:rPr>
        <w:t xml:space="preserve"> </w:t>
      </w:r>
      <w:r w:rsidR="00117CFE" w:rsidRPr="00664B6F">
        <w:rPr>
          <w:i/>
          <w:iCs/>
        </w:rPr>
        <w:t xml:space="preserve">= </w:t>
      </w:r>
      <w:r w:rsidR="00664B6F" w:rsidRPr="00664B6F">
        <w:rPr>
          <w:i/>
          <w:iCs/>
        </w:rPr>
        <w:t>DoS days</w:t>
      </w:r>
    </w:p>
    <w:p w14:paraId="5804B8C4" w14:textId="77777777" w:rsidR="004645A1" w:rsidRDefault="004645A1" w:rsidP="004645A1">
      <w:pPr>
        <w:spacing w:before="120" w:line="240" w:lineRule="auto"/>
        <w:rPr>
          <w:rFonts w:cstheme="majorHAnsi"/>
          <w:b/>
          <w:bCs/>
          <w:szCs w:val="22"/>
        </w:rPr>
      </w:pPr>
    </w:p>
    <w:p w14:paraId="39C49C38" w14:textId="1AC981FD" w:rsidR="004645A1" w:rsidRPr="00B102CB" w:rsidRDefault="004645A1" w:rsidP="004645A1">
      <w:pPr>
        <w:spacing w:before="120" w:line="240" w:lineRule="auto"/>
        <w:rPr>
          <w:rFonts w:cstheme="majorHAnsi"/>
          <w:szCs w:val="22"/>
        </w:rPr>
      </w:pPr>
      <w:r w:rsidRPr="002B13D8">
        <w:rPr>
          <w:rFonts w:cstheme="majorHAnsi"/>
          <w:b/>
          <w:bCs/>
          <w:szCs w:val="22"/>
        </w:rPr>
        <w:t xml:space="preserve">Inventory Turnover Rate: </w:t>
      </w:r>
      <w:r w:rsidRPr="00B102CB">
        <w:rPr>
          <w:rFonts w:cstheme="majorHAnsi"/>
          <w:szCs w:val="22"/>
        </w:rPr>
        <w:t xml:space="preserve">The number of times a </w:t>
      </w:r>
      <w:r w:rsidR="006F094B">
        <w:rPr>
          <w:rFonts w:cstheme="majorHAnsi"/>
          <w:szCs w:val="22"/>
        </w:rPr>
        <w:t>supply-chain/</w:t>
      </w:r>
      <w:r w:rsidRPr="00B102CB">
        <w:rPr>
          <w:rFonts w:cstheme="majorHAnsi"/>
          <w:szCs w:val="22"/>
        </w:rPr>
        <w:t>facility/warehouse/store turns over its inventory annually.</w:t>
      </w:r>
    </w:p>
    <w:p w14:paraId="46A9F0ED" w14:textId="77777777" w:rsidR="004645A1" w:rsidRPr="002B13D8" w:rsidRDefault="004645A1" w:rsidP="004645A1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 w:rsidRPr="002B13D8">
        <w:rPr>
          <w:rFonts w:cstheme="majorHAnsi"/>
          <w:i/>
          <w:iCs/>
          <w:szCs w:val="22"/>
        </w:rPr>
        <w:t xml:space="preserve">Annual value of inventory held / Average value of inventory on hand = Inventory turnover rate </w:t>
      </w:r>
    </w:p>
    <w:p w14:paraId="008C931C" w14:textId="3136B787" w:rsidR="004645A1" w:rsidRDefault="00D8467F" w:rsidP="00D8467F">
      <w:pPr>
        <w:tabs>
          <w:tab w:val="left" w:pos="5640"/>
          <w:tab w:val="left" w:pos="7613"/>
        </w:tabs>
        <w:spacing w:before="120" w:line="240" w:lineRule="auto"/>
        <w:rPr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</w:p>
    <w:p w14:paraId="04A598D7" w14:textId="19C8183C" w:rsidR="003A7B62" w:rsidRDefault="003A7B62" w:rsidP="00335DBB">
      <w:pPr>
        <w:spacing w:line="240" w:lineRule="auto"/>
      </w:pPr>
      <w:r w:rsidRPr="00641343">
        <w:rPr>
          <w:b/>
          <w:bCs/>
        </w:rPr>
        <w:t>O</w:t>
      </w:r>
      <w:r>
        <w:rPr>
          <w:b/>
          <w:bCs/>
        </w:rPr>
        <w:t>n-Time</w:t>
      </w:r>
      <w:r w:rsidR="007940FE">
        <w:rPr>
          <w:b/>
          <w:bCs/>
        </w:rPr>
        <w:t xml:space="preserve"> Delivery Percentage</w:t>
      </w:r>
      <w:r w:rsidRPr="00641343">
        <w:rPr>
          <w:b/>
          <w:bCs/>
        </w:rPr>
        <w:t xml:space="preserve">: </w:t>
      </w:r>
      <w:r>
        <w:t>The percentage of order</w:t>
      </w:r>
      <w:r w:rsidR="007940FE">
        <w:t>s</w:t>
      </w:r>
      <w:r>
        <w:t xml:space="preserve"> </w:t>
      </w:r>
      <w:r w:rsidR="007940FE">
        <w:t>that arrive on or before the requested date.</w:t>
      </w:r>
    </w:p>
    <w:p w14:paraId="5FE52CA5" w14:textId="2983B3DE" w:rsidR="003A7B62" w:rsidRPr="009E085A" w:rsidRDefault="00AE5CE0" w:rsidP="003A7B62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3A7B62" w:rsidRPr="009E085A">
        <w:rPr>
          <w:i/>
          <w:iCs/>
        </w:rPr>
        <w:t xml:space="preserve">Total </w:t>
      </w:r>
      <w:r w:rsidR="007940FE">
        <w:rPr>
          <w:i/>
          <w:iCs/>
        </w:rPr>
        <w:t>on-time orders</w:t>
      </w:r>
      <w:r w:rsidR="003A7B62" w:rsidRPr="009E085A">
        <w:rPr>
          <w:i/>
          <w:iCs/>
        </w:rPr>
        <w:t xml:space="preserve"> / Total </w:t>
      </w:r>
      <w:r w:rsidR="003A7B62">
        <w:rPr>
          <w:i/>
          <w:iCs/>
        </w:rPr>
        <w:t>o</w:t>
      </w:r>
      <w:r w:rsidR="003A7B62" w:rsidRPr="009E085A">
        <w:rPr>
          <w:i/>
          <w:iCs/>
        </w:rPr>
        <w:t>rders</w:t>
      </w:r>
      <w:r>
        <w:rPr>
          <w:i/>
          <w:iCs/>
        </w:rPr>
        <w:t>)</w:t>
      </w:r>
      <w:r w:rsidR="003A7B62" w:rsidRPr="009E085A">
        <w:rPr>
          <w:i/>
          <w:iCs/>
        </w:rPr>
        <w:t xml:space="preserve"> X 100 = </w:t>
      </w:r>
      <w:r w:rsidR="007940FE">
        <w:rPr>
          <w:i/>
          <w:iCs/>
        </w:rPr>
        <w:t>On-time delivery</w:t>
      </w:r>
      <w:r w:rsidR="003A7B62" w:rsidRPr="009E085A">
        <w:rPr>
          <w:i/>
          <w:iCs/>
        </w:rPr>
        <w:t xml:space="preserve"> %</w:t>
      </w:r>
    </w:p>
    <w:p w14:paraId="75EEAD26" w14:textId="77777777" w:rsidR="003A7B62" w:rsidRDefault="003A7B62" w:rsidP="003A7B62">
      <w:pPr>
        <w:spacing w:before="120" w:line="240" w:lineRule="auto"/>
      </w:pPr>
    </w:p>
    <w:p w14:paraId="5DB76763" w14:textId="3C982231" w:rsidR="009E085A" w:rsidRDefault="009E085A" w:rsidP="009E085A">
      <w:pPr>
        <w:spacing w:before="120" w:line="240" w:lineRule="auto"/>
      </w:pPr>
      <w:r w:rsidRPr="00641343">
        <w:rPr>
          <w:b/>
          <w:bCs/>
        </w:rPr>
        <w:t>Orders Delivered in Full</w:t>
      </w:r>
      <w:r w:rsidR="00A60CEC">
        <w:rPr>
          <w:b/>
          <w:bCs/>
        </w:rPr>
        <w:t xml:space="preserve"> Percentage</w:t>
      </w:r>
      <w:r w:rsidRPr="00641343">
        <w:rPr>
          <w:b/>
          <w:bCs/>
        </w:rPr>
        <w:t xml:space="preserve">: </w:t>
      </w:r>
      <w:r>
        <w:t>The percentage of order</w:t>
      </w:r>
      <w:r w:rsidR="00AE5CE0">
        <w:t>s</w:t>
      </w:r>
      <w:r>
        <w:t xml:space="preserve"> in which all items received are the correct quantity.</w:t>
      </w:r>
    </w:p>
    <w:p w14:paraId="645D7D09" w14:textId="322011D5" w:rsidR="002020D5" w:rsidRPr="009E085A" w:rsidRDefault="00AE5CE0" w:rsidP="009E085A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9E085A" w:rsidRPr="009E085A">
        <w:rPr>
          <w:i/>
          <w:iCs/>
        </w:rPr>
        <w:t xml:space="preserve">Total </w:t>
      </w:r>
      <w:r w:rsidR="00257C44">
        <w:rPr>
          <w:i/>
          <w:iCs/>
        </w:rPr>
        <w:t>o</w:t>
      </w:r>
      <w:r w:rsidR="009E085A" w:rsidRPr="009E085A">
        <w:rPr>
          <w:i/>
          <w:iCs/>
        </w:rPr>
        <w:t xml:space="preserve">rders </w:t>
      </w:r>
      <w:r w:rsidR="00186178">
        <w:rPr>
          <w:i/>
          <w:iCs/>
        </w:rPr>
        <w:t>d</w:t>
      </w:r>
      <w:r w:rsidR="009E085A" w:rsidRPr="009E085A">
        <w:rPr>
          <w:i/>
          <w:iCs/>
        </w:rPr>
        <w:t xml:space="preserve">elivered in </w:t>
      </w:r>
      <w:r w:rsidR="00257C44">
        <w:rPr>
          <w:i/>
          <w:iCs/>
        </w:rPr>
        <w:t>f</w:t>
      </w:r>
      <w:r w:rsidR="009E085A" w:rsidRPr="009E085A">
        <w:rPr>
          <w:i/>
          <w:iCs/>
        </w:rPr>
        <w:t xml:space="preserve">ull / Total </w:t>
      </w:r>
      <w:r w:rsidR="00257C44">
        <w:rPr>
          <w:i/>
          <w:iCs/>
        </w:rPr>
        <w:t>o</w:t>
      </w:r>
      <w:r w:rsidR="009E085A" w:rsidRPr="009E085A">
        <w:rPr>
          <w:i/>
          <w:iCs/>
        </w:rPr>
        <w:t>rders</w:t>
      </w:r>
      <w:r>
        <w:rPr>
          <w:i/>
          <w:iCs/>
        </w:rPr>
        <w:t>)</w:t>
      </w:r>
      <w:r w:rsidR="009E085A" w:rsidRPr="009E085A">
        <w:rPr>
          <w:i/>
          <w:iCs/>
        </w:rPr>
        <w:t xml:space="preserve"> X 100 = Orders </w:t>
      </w:r>
      <w:r w:rsidR="00257C44">
        <w:rPr>
          <w:i/>
          <w:iCs/>
        </w:rPr>
        <w:t>d</w:t>
      </w:r>
      <w:r w:rsidR="009E085A" w:rsidRPr="009E085A">
        <w:rPr>
          <w:i/>
          <w:iCs/>
        </w:rPr>
        <w:t xml:space="preserve">elivered in </w:t>
      </w:r>
      <w:r w:rsidR="00257C44">
        <w:rPr>
          <w:i/>
          <w:iCs/>
        </w:rPr>
        <w:t>f</w:t>
      </w:r>
      <w:r w:rsidR="009E085A" w:rsidRPr="009E085A">
        <w:rPr>
          <w:i/>
          <w:iCs/>
        </w:rPr>
        <w:t>ull %</w:t>
      </w:r>
    </w:p>
    <w:p w14:paraId="254158E2" w14:textId="56FB9677" w:rsidR="002020D5" w:rsidRDefault="002020D5" w:rsidP="009E085A">
      <w:pPr>
        <w:spacing w:before="120" w:line="240" w:lineRule="auto"/>
      </w:pPr>
    </w:p>
    <w:p w14:paraId="0CC82E32" w14:textId="1358D61F" w:rsidR="002020D5" w:rsidRDefault="002020D5" w:rsidP="009E085A">
      <w:pPr>
        <w:spacing w:before="120" w:line="240" w:lineRule="auto"/>
      </w:pPr>
      <w:r w:rsidRPr="00B71359">
        <w:rPr>
          <w:b/>
          <w:bCs/>
        </w:rPr>
        <w:t>Perfect Order Fulfilment</w:t>
      </w:r>
      <w:r w:rsidR="0085781A">
        <w:rPr>
          <w:b/>
          <w:bCs/>
        </w:rPr>
        <w:t xml:space="preserve"> Percentage</w:t>
      </w:r>
      <w:r w:rsidRPr="00B71359">
        <w:rPr>
          <w:b/>
          <w:bCs/>
        </w:rPr>
        <w:t xml:space="preserve">: </w:t>
      </w:r>
      <w:r>
        <w:t>The percentage of orders</w:t>
      </w:r>
      <w:r w:rsidR="00C351F8">
        <w:t xml:space="preserve"> meeting delivery performance with complete and accurate documentation and no quality problems</w:t>
      </w:r>
      <w:r w:rsidR="00B71359">
        <w:t>; all individual components of the order</w:t>
      </w:r>
      <w:r w:rsidR="00AE5CE0">
        <w:t>s</w:t>
      </w:r>
      <w:r w:rsidR="00B71359">
        <w:t xml:space="preserve"> are perfect.</w:t>
      </w:r>
      <w:r w:rsidR="0085781A">
        <w:t xml:space="preserve"> Also called complete-and-on-time delivery rate.</w:t>
      </w:r>
    </w:p>
    <w:p w14:paraId="4BE07B6A" w14:textId="7820F5D7" w:rsidR="00C351F8" w:rsidRPr="009E085A" w:rsidRDefault="00AE5CE0" w:rsidP="009E085A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C351F8" w:rsidRPr="009E085A">
        <w:rPr>
          <w:i/>
          <w:iCs/>
        </w:rPr>
        <w:t xml:space="preserve">Total </w:t>
      </w:r>
      <w:r w:rsidR="00257C44">
        <w:rPr>
          <w:i/>
          <w:iCs/>
        </w:rPr>
        <w:t>p</w:t>
      </w:r>
      <w:r w:rsidR="00C351F8" w:rsidRPr="009E085A">
        <w:rPr>
          <w:i/>
          <w:iCs/>
        </w:rPr>
        <w:t xml:space="preserve">erfect </w:t>
      </w:r>
      <w:r w:rsidR="00257C44">
        <w:rPr>
          <w:i/>
          <w:iCs/>
        </w:rPr>
        <w:t>o</w:t>
      </w:r>
      <w:r w:rsidR="00C351F8" w:rsidRPr="009E085A">
        <w:rPr>
          <w:i/>
          <w:iCs/>
        </w:rPr>
        <w:t xml:space="preserve">rders / Total </w:t>
      </w:r>
      <w:r w:rsidR="00257C44">
        <w:rPr>
          <w:i/>
          <w:iCs/>
        </w:rPr>
        <w:t>o</w:t>
      </w:r>
      <w:r w:rsidR="00C351F8" w:rsidRPr="009E085A">
        <w:rPr>
          <w:i/>
          <w:iCs/>
        </w:rPr>
        <w:t>rders</w:t>
      </w:r>
      <w:r>
        <w:rPr>
          <w:i/>
          <w:iCs/>
        </w:rPr>
        <w:t>)</w:t>
      </w:r>
      <w:r w:rsidR="00C351F8" w:rsidRPr="009E085A">
        <w:rPr>
          <w:i/>
          <w:iCs/>
        </w:rPr>
        <w:t xml:space="preserve"> X 100 = Perfect </w:t>
      </w:r>
      <w:r w:rsidR="00257C44">
        <w:rPr>
          <w:i/>
          <w:iCs/>
        </w:rPr>
        <w:t>o</w:t>
      </w:r>
      <w:r w:rsidR="00C351F8" w:rsidRPr="009E085A">
        <w:rPr>
          <w:i/>
          <w:iCs/>
        </w:rPr>
        <w:t>rder</w:t>
      </w:r>
      <w:r w:rsidR="0085781A">
        <w:rPr>
          <w:i/>
          <w:iCs/>
        </w:rPr>
        <w:t xml:space="preserve"> fulfillment</w:t>
      </w:r>
      <w:r w:rsidR="00C351F8" w:rsidRPr="009E085A">
        <w:rPr>
          <w:i/>
          <w:iCs/>
        </w:rPr>
        <w:t xml:space="preserve"> %</w:t>
      </w:r>
    </w:p>
    <w:p w14:paraId="4C796197" w14:textId="3EA98496" w:rsidR="00426087" w:rsidRDefault="00426087" w:rsidP="00B71359">
      <w:pPr>
        <w:spacing w:line="240" w:lineRule="auto"/>
        <w:jc w:val="center"/>
      </w:pPr>
    </w:p>
    <w:p w14:paraId="0850372D" w14:textId="2D89DFCC" w:rsidR="00B9578B" w:rsidRDefault="001350C7" w:rsidP="00B9578B">
      <w:pPr>
        <w:spacing w:line="240" w:lineRule="auto"/>
      </w:pPr>
      <w:r w:rsidRPr="001350C7">
        <w:rPr>
          <w:b/>
          <w:bCs/>
        </w:rPr>
        <w:t xml:space="preserve">Procurement </w:t>
      </w:r>
      <w:r w:rsidR="00B9578B" w:rsidRPr="001350C7">
        <w:rPr>
          <w:b/>
          <w:bCs/>
        </w:rPr>
        <w:t xml:space="preserve">Cycle Time: </w:t>
      </w:r>
      <w:r w:rsidR="00B9578B">
        <w:t xml:space="preserve">The average time to </w:t>
      </w:r>
      <w:r>
        <w:t>procure</w:t>
      </w:r>
      <w:r w:rsidR="00B9578B">
        <w:t xml:space="preserve"> good</w:t>
      </w:r>
      <w:r w:rsidR="004958E1">
        <w:t>s</w:t>
      </w:r>
      <w:r w:rsidR="009C2146">
        <w:t xml:space="preserve"> </w:t>
      </w:r>
      <w:r w:rsidR="0031613B">
        <w:t>or</w:t>
      </w:r>
      <w:r w:rsidR="009C2146">
        <w:t xml:space="preserve"> </w:t>
      </w:r>
      <w:r>
        <w:t>commodities</w:t>
      </w:r>
      <w:r w:rsidR="004958E1">
        <w:t xml:space="preserve">, which should include time to identify supplier sources, select supplier, place orders, </w:t>
      </w:r>
      <w:r w:rsidR="004645A1">
        <w:t xml:space="preserve">transport orders, </w:t>
      </w:r>
      <w:r w:rsidR="004958E1">
        <w:t xml:space="preserve">and receive </w:t>
      </w:r>
      <w:r>
        <w:t>goods</w:t>
      </w:r>
      <w:r w:rsidR="009C2146">
        <w:t xml:space="preserve"> </w:t>
      </w:r>
      <w:r w:rsidR="00314C06">
        <w:t>or</w:t>
      </w:r>
      <w:r w:rsidR="009C2146">
        <w:t xml:space="preserve"> </w:t>
      </w:r>
      <w:r w:rsidR="004645A1">
        <w:t>c</w:t>
      </w:r>
      <w:r>
        <w:t>ommodities.</w:t>
      </w:r>
    </w:p>
    <w:p w14:paraId="161DC230" w14:textId="56ED3B42" w:rsidR="001350C7" w:rsidRDefault="00E660D0" w:rsidP="001350C7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 xml:space="preserve">Time to </w:t>
      </w:r>
      <w:r w:rsidR="00257C44">
        <w:rPr>
          <w:i/>
          <w:iCs/>
        </w:rPr>
        <w:t>p</w:t>
      </w:r>
      <w:r>
        <w:rPr>
          <w:i/>
          <w:iCs/>
        </w:rPr>
        <w:t xml:space="preserve">rocure for </w:t>
      </w:r>
      <w:r w:rsidR="00257C44">
        <w:rPr>
          <w:i/>
          <w:iCs/>
        </w:rPr>
        <w:t>all o</w:t>
      </w:r>
      <w:r>
        <w:rPr>
          <w:i/>
          <w:iCs/>
        </w:rPr>
        <w:t>rders</w:t>
      </w:r>
      <w:r w:rsidR="001350C7" w:rsidRPr="009E085A">
        <w:rPr>
          <w:i/>
          <w:iCs/>
        </w:rPr>
        <w:t xml:space="preserve"> / </w:t>
      </w:r>
      <w:r>
        <w:rPr>
          <w:i/>
          <w:iCs/>
        </w:rPr>
        <w:t xml:space="preserve">Total </w:t>
      </w:r>
      <w:r w:rsidR="00257C44">
        <w:rPr>
          <w:i/>
          <w:iCs/>
        </w:rPr>
        <w:t>o</w:t>
      </w:r>
      <w:r>
        <w:rPr>
          <w:i/>
          <w:iCs/>
        </w:rPr>
        <w:t>rders</w:t>
      </w:r>
      <w:r w:rsidR="001350C7" w:rsidRPr="009E085A">
        <w:rPr>
          <w:i/>
          <w:iCs/>
        </w:rPr>
        <w:t xml:space="preserve"> = </w:t>
      </w:r>
      <w:r w:rsidR="00A625F8">
        <w:rPr>
          <w:i/>
          <w:iCs/>
        </w:rPr>
        <w:t xml:space="preserve">Average </w:t>
      </w:r>
      <w:r w:rsidR="00257C44">
        <w:rPr>
          <w:i/>
          <w:iCs/>
        </w:rPr>
        <w:t>c</w:t>
      </w:r>
      <w:r w:rsidR="00A625F8">
        <w:rPr>
          <w:i/>
          <w:iCs/>
        </w:rPr>
        <w:t xml:space="preserve">ycle </w:t>
      </w:r>
      <w:r w:rsidR="00257C44">
        <w:rPr>
          <w:i/>
          <w:iCs/>
        </w:rPr>
        <w:t>t</w:t>
      </w:r>
      <w:r w:rsidR="00A625F8">
        <w:rPr>
          <w:i/>
          <w:iCs/>
        </w:rPr>
        <w:t>ime days</w:t>
      </w:r>
    </w:p>
    <w:p w14:paraId="7B131878" w14:textId="269E9C1F" w:rsidR="00257C44" w:rsidRDefault="00257C44" w:rsidP="001350C7">
      <w:pPr>
        <w:spacing w:before="120" w:line="240" w:lineRule="auto"/>
        <w:jc w:val="center"/>
        <w:rPr>
          <w:i/>
          <w:iCs/>
        </w:rPr>
      </w:pPr>
    </w:p>
    <w:p w14:paraId="6E2635AD" w14:textId="14479B5B" w:rsidR="0074637A" w:rsidRPr="00150499" w:rsidRDefault="0074637A" w:rsidP="0074637A">
      <w:pPr>
        <w:spacing w:line="240" w:lineRule="auto"/>
        <w:rPr>
          <w:rFonts w:eastAsia="Times New Roman" w:cstheme="majorHAnsi"/>
          <w:color w:val="000000" w:themeColor="text1"/>
          <w:szCs w:val="22"/>
        </w:rPr>
      </w:pPr>
      <w:r>
        <w:rPr>
          <w:rFonts w:cstheme="majorHAnsi"/>
          <w:b/>
          <w:bCs/>
          <w:color w:val="000000" w:themeColor="text1"/>
          <w:szCs w:val="22"/>
        </w:rPr>
        <w:t xml:space="preserve">Returned Goods </w:t>
      </w:r>
      <w:r w:rsidRPr="00150499">
        <w:rPr>
          <w:rFonts w:cstheme="majorHAnsi"/>
          <w:b/>
          <w:bCs/>
          <w:color w:val="000000" w:themeColor="text1"/>
          <w:szCs w:val="22"/>
        </w:rPr>
        <w:t>Percentage:</w:t>
      </w:r>
      <w:r w:rsidRPr="00150499">
        <w:rPr>
          <w:rFonts w:cstheme="majorHAnsi"/>
          <w:color w:val="000000" w:themeColor="text1"/>
          <w:szCs w:val="22"/>
        </w:rPr>
        <w:t xml:space="preserve">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The percentage of goods/commodities that </w:t>
      </w:r>
      <w:r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are returned to suppliers for </w:t>
      </w:r>
      <w:r w:rsidR="004C138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a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given period</w:t>
      </w:r>
      <w:r>
        <w:rPr>
          <w:rFonts w:eastAsia="Times New Roman" w:cstheme="majorHAnsi"/>
          <w:color w:val="000000" w:themeColor="text1"/>
          <w:szCs w:val="22"/>
          <w:shd w:val="clear" w:color="auto" w:fill="FFFFFF"/>
        </w:rPr>
        <w:t>.</w:t>
      </w:r>
    </w:p>
    <w:p w14:paraId="4AE62FB3" w14:textId="6FE34EB4" w:rsidR="0074637A" w:rsidRDefault="00AE5CE0" w:rsidP="0074637A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(</w:t>
      </w:r>
      <w:r w:rsidR="0074637A">
        <w:rPr>
          <w:rFonts w:cstheme="majorHAnsi"/>
          <w:i/>
          <w:iCs/>
          <w:szCs w:val="22"/>
        </w:rPr>
        <w:t>Volume of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74637A">
        <w:rPr>
          <w:rFonts w:cstheme="majorHAnsi"/>
          <w:i/>
          <w:iCs/>
          <w:szCs w:val="22"/>
        </w:rPr>
        <w:t>commodities returned for the period</w:t>
      </w:r>
      <w:r w:rsidR="0074637A" w:rsidRPr="002B13D8">
        <w:rPr>
          <w:rFonts w:cstheme="majorHAnsi"/>
          <w:i/>
          <w:iCs/>
          <w:szCs w:val="22"/>
        </w:rPr>
        <w:t xml:space="preserve"> / </w:t>
      </w:r>
      <w:r w:rsidR="0074637A">
        <w:rPr>
          <w:rFonts w:cstheme="majorHAnsi"/>
          <w:i/>
          <w:iCs/>
          <w:szCs w:val="22"/>
        </w:rPr>
        <w:t>Total volume of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74637A">
        <w:rPr>
          <w:rFonts w:cstheme="majorHAnsi"/>
          <w:i/>
          <w:iCs/>
          <w:szCs w:val="22"/>
        </w:rPr>
        <w:t>commodities for the period</w:t>
      </w:r>
      <w:r>
        <w:rPr>
          <w:rFonts w:cstheme="majorHAnsi"/>
          <w:i/>
          <w:iCs/>
          <w:szCs w:val="22"/>
        </w:rPr>
        <w:t>)</w:t>
      </w:r>
      <w:r w:rsidR="0074637A">
        <w:rPr>
          <w:rFonts w:cstheme="majorHAnsi"/>
          <w:i/>
          <w:iCs/>
          <w:szCs w:val="22"/>
        </w:rPr>
        <w:t xml:space="preserve"> X 100 = Returned goods percentage</w:t>
      </w:r>
      <w:r w:rsidR="0074637A" w:rsidRPr="002B13D8">
        <w:rPr>
          <w:rFonts w:cstheme="majorHAnsi"/>
          <w:i/>
          <w:iCs/>
          <w:szCs w:val="22"/>
        </w:rPr>
        <w:t xml:space="preserve"> </w:t>
      </w:r>
      <w:r w:rsidR="0074637A">
        <w:rPr>
          <w:rFonts w:cstheme="majorHAnsi"/>
          <w:i/>
          <w:iCs/>
          <w:szCs w:val="22"/>
        </w:rPr>
        <w:t>%</w:t>
      </w:r>
    </w:p>
    <w:p w14:paraId="7BC0B79F" w14:textId="77777777" w:rsidR="0074637A" w:rsidRDefault="0074637A" w:rsidP="0074637A">
      <w:pPr>
        <w:spacing w:before="120" w:line="240" w:lineRule="auto"/>
        <w:rPr>
          <w:b/>
          <w:bCs/>
        </w:rPr>
      </w:pPr>
    </w:p>
    <w:p w14:paraId="39CFFB41" w14:textId="7E4F42DA" w:rsidR="00592A0D" w:rsidRPr="00150499" w:rsidRDefault="00592A0D" w:rsidP="00592A0D">
      <w:pPr>
        <w:spacing w:line="240" w:lineRule="auto"/>
        <w:rPr>
          <w:rFonts w:eastAsia="Times New Roman" w:cstheme="majorHAnsi"/>
          <w:color w:val="000000" w:themeColor="text1"/>
          <w:szCs w:val="22"/>
        </w:rPr>
      </w:pPr>
      <w:r w:rsidRPr="00150499">
        <w:rPr>
          <w:rFonts w:cstheme="majorHAnsi"/>
          <w:b/>
          <w:bCs/>
          <w:color w:val="000000" w:themeColor="text1"/>
          <w:szCs w:val="22"/>
        </w:rPr>
        <w:t>Stockout</w:t>
      </w:r>
      <w:r w:rsidR="00D207FE" w:rsidRPr="00150499">
        <w:rPr>
          <w:rFonts w:cstheme="majorHAnsi"/>
          <w:b/>
          <w:bCs/>
          <w:color w:val="000000" w:themeColor="text1"/>
          <w:szCs w:val="22"/>
        </w:rPr>
        <w:t xml:space="preserve"> Percentage</w:t>
      </w:r>
      <w:r w:rsidRPr="00150499">
        <w:rPr>
          <w:rFonts w:cstheme="majorHAnsi"/>
          <w:b/>
          <w:bCs/>
          <w:color w:val="000000" w:themeColor="text1"/>
          <w:szCs w:val="22"/>
        </w:rPr>
        <w:t>:</w:t>
      </w:r>
      <w:r w:rsidRPr="00150499">
        <w:rPr>
          <w:rFonts w:cstheme="majorHAnsi"/>
          <w:color w:val="000000" w:themeColor="text1"/>
          <w:szCs w:val="22"/>
        </w:rPr>
        <w:t xml:space="preserve">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The</w:t>
      </w:r>
      <w:r w:rsidR="00D207FE"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percentage of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goods</w:t>
      </w:r>
      <w:r w:rsidR="00314C06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or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commodities that could not be provided </w:t>
      </w:r>
      <w:r w:rsidR="00D207FE"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for a given period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.</w:t>
      </w:r>
    </w:p>
    <w:p w14:paraId="14E4DD4F" w14:textId="7F74CE1A" w:rsidR="00150499" w:rsidRDefault="009C2146" w:rsidP="00150499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(</w:t>
      </w:r>
      <w:r w:rsidR="00150499">
        <w:rPr>
          <w:rFonts w:cstheme="majorHAnsi"/>
          <w:i/>
          <w:iCs/>
          <w:szCs w:val="22"/>
        </w:rPr>
        <w:t>Volume of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150499">
        <w:rPr>
          <w:rFonts w:cstheme="majorHAnsi"/>
          <w:i/>
          <w:iCs/>
          <w:szCs w:val="22"/>
        </w:rPr>
        <w:t xml:space="preserve">commodities that could not be provided upon request </w:t>
      </w:r>
      <w:r>
        <w:rPr>
          <w:rFonts w:cstheme="majorHAnsi"/>
          <w:i/>
          <w:iCs/>
          <w:szCs w:val="22"/>
        </w:rPr>
        <w:t xml:space="preserve">during </w:t>
      </w:r>
      <w:r w:rsidR="00150499">
        <w:rPr>
          <w:rFonts w:cstheme="majorHAnsi"/>
          <w:i/>
          <w:iCs/>
          <w:szCs w:val="22"/>
        </w:rPr>
        <w:t>the period</w:t>
      </w:r>
      <w:r w:rsidR="00150499" w:rsidRPr="002B13D8">
        <w:rPr>
          <w:rFonts w:cstheme="majorHAnsi"/>
          <w:i/>
          <w:iCs/>
          <w:szCs w:val="22"/>
        </w:rPr>
        <w:t xml:space="preserve"> / </w:t>
      </w:r>
      <w:r w:rsidR="00150499">
        <w:rPr>
          <w:rFonts w:cstheme="majorHAnsi"/>
          <w:i/>
          <w:iCs/>
          <w:szCs w:val="22"/>
        </w:rPr>
        <w:t>Total volume of requested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150499">
        <w:rPr>
          <w:rFonts w:cstheme="majorHAnsi"/>
          <w:i/>
          <w:iCs/>
          <w:szCs w:val="22"/>
        </w:rPr>
        <w:t xml:space="preserve">commodities </w:t>
      </w:r>
      <w:r>
        <w:rPr>
          <w:rFonts w:cstheme="majorHAnsi"/>
          <w:i/>
          <w:iCs/>
          <w:szCs w:val="22"/>
        </w:rPr>
        <w:t xml:space="preserve">during </w:t>
      </w:r>
      <w:r w:rsidR="00150499">
        <w:rPr>
          <w:rFonts w:cstheme="majorHAnsi"/>
          <w:i/>
          <w:iCs/>
          <w:szCs w:val="22"/>
        </w:rPr>
        <w:t>the period</w:t>
      </w:r>
      <w:r>
        <w:rPr>
          <w:rFonts w:cstheme="majorHAnsi"/>
          <w:i/>
          <w:iCs/>
          <w:szCs w:val="22"/>
        </w:rPr>
        <w:t>)</w:t>
      </w:r>
      <w:r w:rsidR="00150499">
        <w:rPr>
          <w:rFonts w:cstheme="majorHAnsi"/>
          <w:i/>
          <w:iCs/>
          <w:szCs w:val="22"/>
        </w:rPr>
        <w:t xml:space="preserve"> X 100 = Stockout percentage</w:t>
      </w:r>
      <w:r w:rsidR="00150499" w:rsidRPr="002B13D8">
        <w:rPr>
          <w:rFonts w:cstheme="majorHAnsi"/>
          <w:i/>
          <w:iCs/>
          <w:szCs w:val="22"/>
        </w:rPr>
        <w:t xml:space="preserve"> </w:t>
      </w:r>
      <w:r w:rsidR="00150499">
        <w:rPr>
          <w:rFonts w:cstheme="majorHAnsi"/>
          <w:i/>
          <w:iCs/>
          <w:szCs w:val="22"/>
        </w:rPr>
        <w:t>%</w:t>
      </w:r>
    </w:p>
    <w:p w14:paraId="77D1CABE" w14:textId="4E0A0567" w:rsidR="00D31D23" w:rsidRPr="00D31D23" w:rsidRDefault="00D31D23" w:rsidP="00150499">
      <w:pPr>
        <w:spacing w:before="120" w:line="240" w:lineRule="auto"/>
        <w:jc w:val="center"/>
        <w:rPr>
          <w:rFonts w:cstheme="majorHAnsi"/>
          <w:szCs w:val="22"/>
        </w:rPr>
      </w:pPr>
      <w:r w:rsidRPr="00D31D23">
        <w:rPr>
          <w:rFonts w:cstheme="majorHAnsi"/>
          <w:szCs w:val="22"/>
        </w:rPr>
        <w:t>OR</w:t>
      </w:r>
    </w:p>
    <w:p w14:paraId="2E8B0260" w14:textId="368281AF" w:rsidR="00D31D23" w:rsidRDefault="009C2146" w:rsidP="00D31D23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(</w:t>
      </w:r>
      <w:r w:rsidR="00D31D23">
        <w:rPr>
          <w:rFonts w:cstheme="majorHAnsi"/>
          <w:i/>
          <w:iCs/>
          <w:szCs w:val="22"/>
        </w:rPr>
        <w:t>Number of requests for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D31D23">
        <w:rPr>
          <w:rFonts w:cstheme="majorHAnsi"/>
          <w:i/>
          <w:iCs/>
          <w:szCs w:val="22"/>
        </w:rPr>
        <w:t xml:space="preserve">commodities that could not be provided </w:t>
      </w:r>
      <w:r>
        <w:rPr>
          <w:rFonts w:cstheme="majorHAnsi"/>
          <w:i/>
          <w:iCs/>
          <w:szCs w:val="22"/>
        </w:rPr>
        <w:t xml:space="preserve">during </w:t>
      </w:r>
      <w:r w:rsidR="00D31D23">
        <w:rPr>
          <w:rFonts w:cstheme="majorHAnsi"/>
          <w:i/>
          <w:iCs/>
          <w:szCs w:val="22"/>
        </w:rPr>
        <w:t>the period</w:t>
      </w:r>
      <w:r w:rsidR="00D31D23" w:rsidRPr="002B13D8">
        <w:rPr>
          <w:rFonts w:cstheme="majorHAnsi"/>
          <w:i/>
          <w:iCs/>
          <w:szCs w:val="22"/>
        </w:rPr>
        <w:t xml:space="preserve"> / </w:t>
      </w:r>
      <w:r w:rsidR="00D31D23">
        <w:rPr>
          <w:rFonts w:cstheme="majorHAnsi"/>
          <w:i/>
          <w:iCs/>
          <w:szCs w:val="22"/>
        </w:rPr>
        <w:t>Total number of requests for goods</w:t>
      </w:r>
      <w:r w:rsidR="00335DBB">
        <w:rPr>
          <w:rFonts w:cstheme="majorHAnsi"/>
          <w:i/>
          <w:iCs/>
          <w:szCs w:val="22"/>
        </w:rPr>
        <w:t xml:space="preserve"> or </w:t>
      </w:r>
      <w:r w:rsidR="00D31D23">
        <w:rPr>
          <w:rFonts w:cstheme="majorHAnsi"/>
          <w:i/>
          <w:iCs/>
          <w:szCs w:val="22"/>
        </w:rPr>
        <w:t xml:space="preserve">commodities </w:t>
      </w:r>
      <w:r>
        <w:rPr>
          <w:rFonts w:cstheme="majorHAnsi"/>
          <w:i/>
          <w:iCs/>
          <w:szCs w:val="22"/>
        </w:rPr>
        <w:t xml:space="preserve">during </w:t>
      </w:r>
      <w:r w:rsidR="00D31D23">
        <w:rPr>
          <w:rFonts w:cstheme="majorHAnsi"/>
          <w:i/>
          <w:iCs/>
          <w:szCs w:val="22"/>
        </w:rPr>
        <w:t>the period</w:t>
      </w:r>
      <w:r>
        <w:rPr>
          <w:rFonts w:cstheme="majorHAnsi"/>
          <w:i/>
          <w:iCs/>
          <w:szCs w:val="22"/>
        </w:rPr>
        <w:t>)</w:t>
      </w:r>
      <w:r w:rsidR="00D31D23">
        <w:rPr>
          <w:rFonts w:cstheme="majorHAnsi"/>
          <w:i/>
          <w:iCs/>
          <w:szCs w:val="22"/>
        </w:rPr>
        <w:t xml:space="preserve"> X 100 = Stockout percentage</w:t>
      </w:r>
      <w:r w:rsidR="00D31D23" w:rsidRPr="002B13D8">
        <w:rPr>
          <w:rFonts w:cstheme="majorHAnsi"/>
          <w:i/>
          <w:iCs/>
          <w:szCs w:val="22"/>
        </w:rPr>
        <w:t xml:space="preserve"> </w:t>
      </w:r>
      <w:r w:rsidR="00D31D23">
        <w:rPr>
          <w:rFonts w:cstheme="majorHAnsi"/>
          <w:i/>
          <w:iCs/>
          <w:szCs w:val="22"/>
        </w:rPr>
        <w:t>%</w:t>
      </w:r>
    </w:p>
    <w:p w14:paraId="6401A6BC" w14:textId="44FF5BCE" w:rsidR="00592A0D" w:rsidRDefault="00592A0D" w:rsidP="001350C7">
      <w:pPr>
        <w:spacing w:before="120" w:line="240" w:lineRule="auto"/>
        <w:jc w:val="center"/>
        <w:rPr>
          <w:i/>
          <w:iCs/>
        </w:rPr>
      </w:pPr>
    </w:p>
    <w:p w14:paraId="1152E30E" w14:textId="68E55BC2" w:rsidR="009C2146" w:rsidRPr="002660E9" w:rsidRDefault="004B4A7A" w:rsidP="00AC5304">
      <w:pPr>
        <w:spacing w:line="240" w:lineRule="auto"/>
        <w:rPr>
          <w:b/>
          <w:bCs/>
        </w:rPr>
      </w:pPr>
      <w:r>
        <w:rPr>
          <w:b/>
          <w:bCs/>
        </w:rPr>
        <w:t>Storage Capacity Utilization</w:t>
      </w:r>
      <w:r w:rsidR="00A60CEC">
        <w:rPr>
          <w:b/>
          <w:bCs/>
        </w:rPr>
        <w:t xml:space="preserve"> Percentage</w:t>
      </w:r>
      <w:r w:rsidR="00CB5C31" w:rsidRPr="002660E9">
        <w:rPr>
          <w:b/>
          <w:bCs/>
        </w:rPr>
        <w:t xml:space="preserve"> </w:t>
      </w:r>
      <w:r w:rsidR="00CB5C31" w:rsidRPr="002660E9">
        <w:t xml:space="preserve">The </w:t>
      </w:r>
      <w:r>
        <w:t>percentage of space used for the storage of goods</w:t>
      </w:r>
      <w:r w:rsidR="00335DBB">
        <w:t xml:space="preserve"> or </w:t>
      </w:r>
      <w:r>
        <w:t>commodities.</w:t>
      </w:r>
    </w:p>
    <w:p w14:paraId="32386ECE" w14:textId="01C63B00" w:rsidR="00CB5C31" w:rsidRPr="004B4A7A" w:rsidRDefault="009C2146" w:rsidP="00AC5304">
      <w:pPr>
        <w:spacing w:before="120" w:line="240" w:lineRule="auto"/>
        <w:jc w:val="center"/>
        <w:rPr>
          <w:b/>
          <w:bCs/>
          <w:i/>
          <w:iCs/>
        </w:rPr>
      </w:pPr>
      <w:r>
        <w:rPr>
          <w:rFonts w:cstheme="majorHAnsi"/>
          <w:i/>
          <w:iCs/>
          <w:szCs w:val="22"/>
        </w:rPr>
        <w:t>(</w:t>
      </w:r>
      <w:r w:rsidR="004B4A7A">
        <w:rPr>
          <w:rFonts w:cstheme="majorHAnsi"/>
          <w:i/>
          <w:iCs/>
          <w:szCs w:val="22"/>
        </w:rPr>
        <w:t>Occupied storage capacity</w:t>
      </w:r>
      <w:r w:rsidR="00CB5C31" w:rsidRPr="004B4A7A">
        <w:rPr>
          <w:rFonts w:cstheme="majorHAnsi"/>
          <w:i/>
          <w:iCs/>
          <w:szCs w:val="22"/>
        </w:rPr>
        <w:t xml:space="preserve"> / </w:t>
      </w:r>
      <w:r w:rsidR="004B4A7A">
        <w:rPr>
          <w:rFonts w:cstheme="majorHAnsi"/>
          <w:i/>
          <w:iCs/>
          <w:szCs w:val="22"/>
        </w:rPr>
        <w:t>Total storage capacity</w:t>
      </w:r>
      <w:r>
        <w:rPr>
          <w:rFonts w:cstheme="majorHAnsi"/>
          <w:i/>
          <w:iCs/>
          <w:szCs w:val="22"/>
        </w:rPr>
        <w:t>)</w:t>
      </w:r>
      <w:r w:rsidR="004B4A7A">
        <w:rPr>
          <w:rFonts w:cstheme="majorHAnsi"/>
          <w:i/>
          <w:iCs/>
          <w:szCs w:val="22"/>
        </w:rPr>
        <w:t xml:space="preserve"> X 100 = Storage capacity </w:t>
      </w:r>
      <w:r w:rsidR="00897B21">
        <w:rPr>
          <w:rFonts w:cstheme="majorHAnsi"/>
          <w:i/>
          <w:iCs/>
          <w:szCs w:val="22"/>
        </w:rPr>
        <w:t>utilization</w:t>
      </w:r>
      <w:r w:rsidR="004B4A7A">
        <w:rPr>
          <w:rFonts w:cstheme="majorHAnsi"/>
          <w:i/>
          <w:iCs/>
          <w:szCs w:val="22"/>
        </w:rPr>
        <w:t xml:space="preserve"> %</w:t>
      </w:r>
      <w:r w:rsidR="00CB5C31" w:rsidRPr="004B4A7A">
        <w:rPr>
          <w:rFonts w:cstheme="majorHAnsi"/>
          <w:i/>
          <w:iCs/>
          <w:szCs w:val="22"/>
        </w:rPr>
        <w:t xml:space="preserve"> </w:t>
      </w:r>
      <w:r w:rsidR="00CB5C31" w:rsidRPr="004B4A7A">
        <w:rPr>
          <w:rFonts w:cstheme="majorHAnsi"/>
          <w:i/>
          <w:iCs/>
          <w:szCs w:val="22"/>
        </w:rPr>
        <w:br/>
      </w:r>
    </w:p>
    <w:p w14:paraId="4EE69162" w14:textId="6A600567" w:rsidR="001B0CFB" w:rsidRPr="002660E9" w:rsidRDefault="001B0CFB" w:rsidP="00CB5C31">
      <w:pPr>
        <w:spacing w:line="240" w:lineRule="auto"/>
        <w:rPr>
          <w:b/>
          <w:bCs/>
        </w:rPr>
      </w:pPr>
      <w:r w:rsidRPr="002660E9">
        <w:rPr>
          <w:b/>
          <w:bCs/>
        </w:rPr>
        <w:lastRenderedPageBreak/>
        <w:t xml:space="preserve">Supplier Leadtime: </w:t>
      </w:r>
      <w:r w:rsidRPr="002660E9">
        <w:t>The time it takes from</w:t>
      </w:r>
      <w:r w:rsidR="0043243D">
        <w:t xml:space="preserve"> the</w:t>
      </w:r>
      <w:r w:rsidRPr="002660E9">
        <w:t xml:space="preserve"> order of a good</w:t>
      </w:r>
      <w:r w:rsidR="00335DBB">
        <w:t xml:space="preserve"> or </w:t>
      </w:r>
      <w:r w:rsidRPr="002660E9">
        <w:t>commodity to its receipt.</w:t>
      </w:r>
      <w:r w:rsidR="002660E9">
        <w:t xml:space="preserve"> Supplier lead time can be </w:t>
      </w:r>
      <w:r w:rsidR="00897B21">
        <w:t>calculated</w:t>
      </w:r>
      <w:r w:rsidR="002660E9">
        <w:t xml:space="preserve"> for a specific good</w:t>
      </w:r>
      <w:r w:rsidR="00335DBB">
        <w:t xml:space="preserve"> or </w:t>
      </w:r>
      <w:r w:rsidR="002660E9">
        <w:t>commodity, specific supplier, all goods</w:t>
      </w:r>
      <w:r w:rsidR="00335DBB">
        <w:t xml:space="preserve"> or </w:t>
      </w:r>
      <w:r w:rsidR="002660E9">
        <w:t>commodities, or all suppliers.</w:t>
      </w:r>
    </w:p>
    <w:p w14:paraId="45D7172A" w14:textId="0BF07329" w:rsidR="002660E9" w:rsidRPr="002B13D8" w:rsidRDefault="00B80D34" w:rsidP="00CB5C31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 xml:space="preserve">Total </w:t>
      </w:r>
      <w:r w:rsidR="00CB5C31">
        <w:rPr>
          <w:rFonts w:cstheme="majorHAnsi"/>
          <w:i/>
          <w:iCs/>
          <w:szCs w:val="22"/>
        </w:rPr>
        <w:t xml:space="preserve">of lead </w:t>
      </w:r>
      <w:r>
        <w:rPr>
          <w:rFonts w:cstheme="majorHAnsi"/>
          <w:i/>
          <w:iCs/>
          <w:szCs w:val="22"/>
        </w:rPr>
        <w:t>time</w:t>
      </w:r>
      <w:r w:rsidR="00CB5C31">
        <w:rPr>
          <w:rFonts w:cstheme="majorHAnsi"/>
          <w:i/>
          <w:iCs/>
          <w:szCs w:val="22"/>
        </w:rPr>
        <w:t>s</w:t>
      </w:r>
      <w:r>
        <w:rPr>
          <w:rFonts w:cstheme="majorHAnsi"/>
          <w:i/>
          <w:iCs/>
          <w:szCs w:val="22"/>
        </w:rPr>
        <w:t xml:space="preserve"> to </w:t>
      </w:r>
      <w:r w:rsidR="002660E9">
        <w:rPr>
          <w:rFonts w:cstheme="majorHAnsi"/>
          <w:i/>
          <w:iCs/>
          <w:szCs w:val="22"/>
        </w:rPr>
        <w:t>receive goo</w:t>
      </w:r>
      <w:r w:rsidR="009C2146">
        <w:rPr>
          <w:rFonts w:cstheme="majorHAnsi"/>
          <w:i/>
          <w:iCs/>
          <w:szCs w:val="22"/>
        </w:rPr>
        <w:t xml:space="preserve">ds or </w:t>
      </w:r>
      <w:r w:rsidR="002660E9">
        <w:rPr>
          <w:rFonts w:cstheme="majorHAnsi"/>
          <w:i/>
          <w:iCs/>
          <w:szCs w:val="22"/>
        </w:rPr>
        <w:t>commodit</w:t>
      </w:r>
      <w:r w:rsidR="009C2146">
        <w:rPr>
          <w:rFonts w:cstheme="majorHAnsi"/>
          <w:i/>
          <w:iCs/>
          <w:szCs w:val="22"/>
        </w:rPr>
        <w:t>ies</w:t>
      </w:r>
      <w:r w:rsidR="002660E9" w:rsidRPr="002B13D8">
        <w:rPr>
          <w:rFonts w:cstheme="majorHAnsi"/>
          <w:i/>
          <w:iCs/>
          <w:szCs w:val="22"/>
        </w:rPr>
        <w:t xml:space="preserve"> / </w:t>
      </w:r>
      <w:r>
        <w:rPr>
          <w:rFonts w:cstheme="majorHAnsi"/>
          <w:i/>
          <w:iCs/>
          <w:szCs w:val="22"/>
        </w:rPr>
        <w:t>Number of orders for the good</w:t>
      </w:r>
      <w:r w:rsidR="009C2146">
        <w:rPr>
          <w:rFonts w:cstheme="majorHAnsi"/>
          <w:i/>
          <w:iCs/>
          <w:szCs w:val="22"/>
        </w:rPr>
        <w:t xml:space="preserve">s or </w:t>
      </w:r>
      <w:r>
        <w:rPr>
          <w:rFonts w:cstheme="majorHAnsi"/>
          <w:i/>
          <w:iCs/>
          <w:szCs w:val="22"/>
        </w:rPr>
        <w:t>commodit</w:t>
      </w:r>
      <w:r w:rsidR="009C2146">
        <w:rPr>
          <w:rFonts w:cstheme="majorHAnsi"/>
          <w:i/>
          <w:iCs/>
          <w:szCs w:val="22"/>
        </w:rPr>
        <w:t>ies</w:t>
      </w:r>
      <w:r w:rsidR="002660E9" w:rsidRPr="002B13D8">
        <w:rPr>
          <w:rFonts w:cstheme="majorHAnsi"/>
          <w:i/>
          <w:iCs/>
          <w:szCs w:val="22"/>
        </w:rPr>
        <w:t xml:space="preserve"> </w:t>
      </w:r>
      <w:r w:rsidR="00CB5C31">
        <w:rPr>
          <w:rFonts w:cstheme="majorHAnsi"/>
          <w:i/>
          <w:iCs/>
          <w:szCs w:val="22"/>
        </w:rPr>
        <w:br/>
      </w:r>
      <w:r w:rsidR="002660E9" w:rsidRPr="002B13D8">
        <w:rPr>
          <w:rFonts w:cstheme="majorHAnsi"/>
          <w:i/>
          <w:iCs/>
          <w:szCs w:val="22"/>
        </w:rPr>
        <w:t xml:space="preserve">= </w:t>
      </w:r>
      <w:r>
        <w:rPr>
          <w:rFonts w:cstheme="majorHAnsi"/>
          <w:i/>
          <w:iCs/>
          <w:szCs w:val="22"/>
        </w:rPr>
        <w:t>Supplier leadtime</w:t>
      </w:r>
      <w:r w:rsidR="00CB5C31">
        <w:rPr>
          <w:rFonts w:cstheme="majorHAnsi"/>
          <w:i/>
          <w:iCs/>
          <w:szCs w:val="22"/>
        </w:rPr>
        <w:t xml:space="preserve"> days</w:t>
      </w:r>
    </w:p>
    <w:p w14:paraId="0755EFDC" w14:textId="77777777" w:rsidR="00A100B0" w:rsidRDefault="00A100B0" w:rsidP="00B9578B">
      <w:pPr>
        <w:spacing w:line="240" w:lineRule="auto"/>
        <w:rPr>
          <w:b/>
          <w:bCs/>
        </w:rPr>
      </w:pPr>
    </w:p>
    <w:p w14:paraId="7F165091" w14:textId="19A0165A" w:rsidR="001350C7" w:rsidRDefault="00BA4361" w:rsidP="00B9578B">
      <w:pPr>
        <w:spacing w:line="240" w:lineRule="auto"/>
      </w:pPr>
      <w:r w:rsidRPr="00FF2CFB">
        <w:rPr>
          <w:b/>
          <w:bCs/>
        </w:rPr>
        <w:t>Total Supply</w:t>
      </w:r>
      <w:r w:rsidR="001F0FF1">
        <w:rPr>
          <w:b/>
          <w:bCs/>
        </w:rPr>
        <w:t>-</w:t>
      </w:r>
      <w:r w:rsidRPr="00FF2CFB">
        <w:rPr>
          <w:b/>
          <w:bCs/>
        </w:rPr>
        <w:t>Chain Management Cost:</w:t>
      </w:r>
      <w:r>
        <w:t xml:space="preserve"> </w:t>
      </w:r>
      <w:r w:rsidR="00976CC1">
        <w:t xml:space="preserve">The sum of costs to plan, source, deliver, and return </w:t>
      </w:r>
      <w:r w:rsidR="00FF2CFB">
        <w:t xml:space="preserve">all </w:t>
      </w:r>
      <w:r w:rsidR="00976CC1">
        <w:t>goods/commodities.</w:t>
      </w:r>
      <w:r w:rsidR="00FF2CFB">
        <w:t xml:space="preserve"> </w:t>
      </w:r>
      <w:r w:rsidR="001F0FF1">
        <w:t>(The c</w:t>
      </w:r>
      <w:r w:rsidR="00AC4D6B">
        <w:t xml:space="preserve">ost of inventory is usually accounted for by </w:t>
      </w:r>
      <w:r w:rsidR="001F0FF1">
        <w:t xml:space="preserve">the </w:t>
      </w:r>
      <w:r w:rsidR="00AC4D6B">
        <w:t>cost of goods sold (COGS)</w:t>
      </w:r>
      <w:r w:rsidR="001F0FF1">
        <w:t xml:space="preserve"> metric</w:t>
      </w:r>
      <w:r w:rsidR="00AC4D6B">
        <w:t>.</w:t>
      </w:r>
      <w:r w:rsidR="001F0FF1">
        <w:t>)</w:t>
      </w:r>
    </w:p>
    <w:p w14:paraId="06ED7EBD" w14:textId="453B929D" w:rsidR="00976CC1" w:rsidRDefault="00976CC1" w:rsidP="006226D9">
      <w:pPr>
        <w:spacing w:line="240" w:lineRule="auto"/>
        <w:jc w:val="center"/>
        <w:rPr>
          <w:i/>
          <w:iCs/>
        </w:rPr>
      </w:pPr>
      <w:r w:rsidRPr="006226D9">
        <w:rPr>
          <w:i/>
          <w:iCs/>
        </w:rPr>
        <w:t xml:space="preserve">Cost to </w:t>
      </w:r>
      <w:r w:rsidR="00257C44">
        <w:rPr>
          <w:i/>
          <w:iCs/>
        </w:rPr>
        <w:t>p</w:t>
      </w:r>
      <w:r w:rsidRPr="006226D9">
        <w:rPr>
          <w:i/>
          <w:iCs/>
        </w:rPr>
        <w:t xml:space="preserve">lan + Cost to </w:t>
      </w:r>
      <w:r w:rsidR="00257C44">
        <w:rPr>
          <w:i/>
          <w:iCs/>
        </w:rPr>
        <w:t>s</w:t>
      </w:r>
      <w:r w:rsidRPr="006226D9">
        <w:rPr>
          <w:i/>
          <w:iCs/>
        </w:rPr>
        <w:t xml:space="preserve">ource + Cost to </w:t>
      </w:r>
      <w:r w:rsidR="00257C44">
        <w:rPr>
          <w:i/>
          <w:iCs/>
        </w:rPr>
        <w:t>d</w:t>
      </w:r>
      <w:r w:rsidRPr="006226D9">
        <w:rPr>
          <w:i/>
          <w:iCs/>
        </w:rPr>
        <w:t xml:space="preserve">eliver + </w:t>
      </w:r>
      <w:r w:rsidR="006226D9" w:rsidRPr="006226D9">
        <w:rPr>
          <w:i/>
          <w:iCs/>
        </w:rPr>
        <w:br/>
      </w:r>
      <w:r w:rsidRPr="006226D9">
        <w:rPr>
          <w:i/>
          <w:iCs/>
        </w:rPr>
        <w:t xml:space="preserve">Cost </w:t>
      </w:r>
      <w:r w:rsidR="006226D9" w:rsidRPr="006226D9">
        <w:rPr>
          <w:i/>
          <w:iCs/>
        </w:rPr>
        <w:t xml:space="preserve">to </w:t>
      </w:r>
      <w:r w:rsidR="00257C44">
        <w:rPr>
          <w:i/>
          <w:iCs/>
        </w:rPr>
        <w:t>r</w:t>
      </w:r>
      <w:r w:rsidR="006226D9" w:rsidRPr="006226D9">
        <w:rPr>
          <w:i/>
          <w:iCs/>
        </w:rPr>
        <w:t xml:space="preserve">eturn + Mitigation </w:t>
      </w:r>
      <w:r w:rsidR="00257C44">
        <w:rPr>
          <w:i/>
          <w:iCs/>
        </w:rPr>
        <w:t>c</w:t>
      </w:r>
      <w:r w:rsidR="006226D9" w:rsidRPr="006226D9">
        <w:rPr>
          <w:i/>
          <w:iCs/>
        </w:rPr>
        <w:t xml:space="preserve">osts = Total </w:t>
      </w:r>
      <w:r w:rsidR="00257C44">
        <w:rPr>
          <w:i/>
          <w:iCs/>
        </w:rPr>
        <w:t>su</w:t>
      </w:r>
      <w:r w:rsidR="006226D9" w:rsidRPr="006226D9">
        <w:rPr>
          <w:i/>
          <w:iCs/>
        </w:rPr>
        <w:t xml:space="preserve">pply </w:t>
      </w:r>
      <w:r w:rsidR="00257C44">
        <w:rPr>
          <w:i/>
          <w:iCs/>
        </w:rPr>
        <w:t>c</w:t>
      </w:r>
      <w:r w:rsidR="006226D9" w:rsidRPr="006226D9">
        <w:rPr>
          <w:i/>
          <w:iCs/>
        </w:rPr>
        <w:t xml:space="preserve">hain </w:t>
      </w:r>
      <w:r w:rsidR="00257C44">
        <w:rPr>
          <w:i/>
          <w:iCs/>
        </w:rPr>
        <w:t>c</w:t>
      </w:r>
      <w:r w:rsidR="006226D9" w:rsidRPr="006226D9">
        <w:rPr>
          <w:i/>
          <w:iCs/>
        </w:rPr>
        <w:t>osts</w:t>
      </w:r>
    </w:p>
    <w:p w14:paraId="172D5FB6" w14:textId="42BD9698" w:rsidR="00117CFE" w:rsidRDefault="00117CFE" w:rsidP="006226D9">
      <w:pPr>
        <w:spacing w:line="240" w:lineRule="auto"/>
        <w:jc w:val="center"/>
        <w:rPr>
          <w:i/>
          <w:iCs/>
        </w:rPr>
      </w:pPr>
    </w:p>
    <w:p w14:paraId="7E471803" w14:textId="08712048" w:rsidR="00117CFE" w:rsidRDefault="00117CFE" w:rsidP="006226D9">
      <w:pPr>
        <w:spacing w:line="240" w:lineRule="auto"/>
        <w:jc w:val="center"/>
        <w:rPr>
          <w:i/>
          <w:iCs/>
        </w:rPr>
      </w:pPr>
    </w:p>
    <w:p w14:paraId="76F020ED" w14:textId="752C1BD5" w:rsidR="00117CFE" w:rsidRDefault="00117CFE" w:rsidP="006226D9">
      <w:pPr>
        <w:spacing w:line="240" w:lineRule="auto"/>
        <w:jc w:val="center"/>
        <w:rPr>
          <w:i/>
          <w:iCs/>
        </w:rPr>
      </w:pPr>
    </w:p>
    <w:p w14:paraId="38349E69" w14:textId="77777777" w:rsidR="00117CFE" w:rsidRPr="006226D9" w:rsidRDefault="00117CFE" w:rsidP="006226D9">
      <w:pPr>
        <w:spacing w:line="240" w:lineRule="auto"/>
        <w:jc w:val="center"/>
        <w:rPr>
          <w:i/>
          <w:iCs/>
        </w:rPr>
      </w:pPr>
    </w:p>
    <w:sectPr w:rsidR="00117CFE" w:rsidRPr="006226D9" w:rsidSect="00262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733E" w14:textId="77777777" w:rsidR="000C372E" w:rsidRDefault="000C372E">
      <w:pPr>
        <w:spacing w:line="240" w:lineRule="auto"/>
      </w:pPr>
      <w:r>
        <w:separator/>
      </w:r>
    </w:p>
  </w:endnote>
  <w:endnote w:type="continuationSeparator" w:id="0">
    <w:p w14:paraId="26F68B4E" w14:textId="77777777" w:rsidR="000C372E" w:rsidRDefault="000C3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30198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185ED8" w14:textId="6F363E38" w:rsidR="00A6399D" w:rsidRDefault="00A6399D" w:rsidP="009414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F0254F" w14:textId="77777777" w:rsidR="006F4788" w:rsidRDefault="006F4788" w:rsidP="00A639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B712" w14:textId="77777777" w:rsidR="00D8467F" w:rsidRDefault="00D8467F" w:rsidP="00A6399D">
    <w:pPr>
      <w:ind w:right="360"/>
      <w:rPr>
        <w:rFonts w:eastAsia="Times New Roman" w:cstheme="majorHAnsi"/>
        <w:color w:val="000000" w:themeColor="text1"/>
        <w:sz w:val="20"/>
        <w:szCs w:val="20"/>
      </w:rPr>
    </w:pPr>
  </w:p>
  <w:sdt>
    <w:sdtPr>
      <w:rPr>
        <w:rStyle w:val="PageNumber"/>
        <w:rFonts w:asciiTheme="majorHAnsi" w:hAnsiTheme="majorHAnsi" w:cstheme="majorHAnsi"/>
        <w:sz w:val="20"/>
        <w:szCs w:val="20"/>
      </w:rPr>
      <w:id w:val="2084799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280C6" w14:textId="77777777" w:rsidR="00D8467F" w:rsidRPr="00A6399D" w:rsidRDefault="00D8467F" w:rsidP="00D8467F">
        <w:pPr>
          <w:pStyle w:val="Footer"/>
          <w:framePr w:wrap="none" w:vAnchor="text" w:hAnchor="page" w:x="10707" w:y="34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A6399D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A6399D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A6399D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A6399D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A6399D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4CFAF27A" w14:textId="2FE92100" w:rsidR="00A6399D" w:rsidRPr="00A6399D" w:rsidRDefault="00A6399D" w:rsidP="00A6399D">
    <w:pPr>
      <w:ind w:right="360"/>
      <w:rPr>
        <w:rFonts w:eastAsia="Times New Roman" w:cstheme="majorHAnsi"/>
        <w:color w:val="000000" w:themeColor="text1"/>
        <w:sz w:val="20"/>
        <w:szCs w:val="20"/>
      </w:rPr>
    </w:pPr>
    <w:r w:rsidRPr="00A6399D">
      <w:rPr>
        <w:rFonts w:eastAsia="Times New Roman" w:cstheme="majorHAnsi"/>
        <w:color w:val="000000" w:themeColor="text1"/>
        <w:sz w:val="20"/>
        <w:szCs w:val="20"/>
      </w:rPr>
      <w:t>©</w:t>
    </w:r>
    <w:r w:rsidRPr="00A6399D">
      <w:rPr>
        <w:rFonts w:cstheme="majorHAnsi"/>
        <w:color w:val="000000" w:themeColor="text1"/>
        <w:sz w:val="20"/>
        <w:szCs w:val="20"/>
      </w:rPr>
      <w:t xml:space="preserve"> </w:t>
    </w:r>
    <w:r w:rsidRPr="00A6399D">
      <w:rPr>
        <w:rFonts w:eastAsia="Times New Roman" w:cstheme="majorHAnsi"/>
        <w:color w:val="000000" w:themeColor="text1"/>
        <w:sz w:val="20"/>
        <w:szCs w:val="20"/>
      </w:rPr>
      <w:t>2020 APICS Inc., dba The Association for Supply Chain Management.  All rights reserved.</w:t>
    </w:r>
  </w:p>
  <w:p w14:paraId="75F49F64" w14:textId="77777777" w:rsidR="006F4788" w:rsidRPr="00A6399D" w:rsidRDefault="006F4788" w:rsidP="006F4788">
    <w:pPr>
      <w:pStyle w:val="Footer"/>
      <w:ind w:right="360"/>
      <w:jc w:val="center"/>
      <w:rPr>
        <w:rFonts w:asciiTheme="majorHAnsi" w:eastAsia="Times New Roman" w:hAnsiTheme="majorHAnsi" w:cstheme="majorHAnsi"/>
        <w:color w:val="000000" w:themeColor="text1"/>
        <w:sz w:val="20"/>
        <w:szCs w:val="20"/>
      </w:rPr>
    </w:pPr>
  </w:p>
  <w:p w14:paraId="18F10D06" w14:textId="32CB2999" w:rsidR="00F65220" w:rsidRPr="00792931" w:rsidRDefault="006E2010" w:rsidP="00A6399D">
    <w:pPr>
      <w:pStyle w:val="Footer"/>
      <w:ind w:right="360"/>
      <w:jc w:val="center"/>
    </w:pPr>
    <w:r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ASCM GHSC </w:t>
    </w:r>
    <w:r w:rsidRPr="006B3DE2"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Maturity Model v8.0 — </w:t>
    </w:r>
    <w:r w:rsidR="006F4788" w:rsidRPr="00A6399D">
      <w:rPr>
        <w:rFonts w:asciiTheme="majorHAnsi" w:eastAsia="Times New Roman" w:hAnsiTheme="majorHAnsi" w:cstheme="majorHAnsi"/>
        <w:color w:val="000000" w:themeColor="text1"/>
        <w:sz w:val="20"/>
        <w:szCs w:val="20"/>
      </w:rPr>
      <w:t>Supply-Chain Key Performance Indicators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0153" w14:textId="77777777" w:rsidR="006E2010" w:rsidRDefault="006E2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D61F" w14:textId="77777777" w:rsidR="000C372E" w:rsidRDefault="000C372E">
      <w:pPr>
        <w:spacing w:line="240" w:lineRule="auto"/>
      </w:pPr>
      <w:r>
        <w:separator/>
      </w:r>
    </w:p>
  </w:footnote>
  <w:footnote w:type="continuationSeparator" w:id="0">
    <w:p w14:paraId="263F4DD8" w14:textId="77777777" w:rsidR="000C372E" w:rsidRDefault="000C3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8024" w14:textId="77777777" w:rsidR="006E2010" w:rsidRDefault="006E2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9628" w14:textId="78979A90" w:rsidR="00A6399D" w:rsidRDefault="00A6399D" w:rsidP="006F4788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700224" behindDoc="0" locked="0" layoutInCell="1" allowOverlap="0" wp14:anchorId="704E5263" wp14:editId="42CBBCDD">
          <wp:simplePos x="0" y="0"/>
          <wp:positionH relativeFrom="column">
            <wp:posOffset>1642533</wp:posOffset>
          </wp:positionH>
          <wp:positionV relativeFrom="paragraph">
            <wp:posOffset>154729</wp:posOffset>
          </wp:positionV>
          <wp:extent cx="2788920" cy="630936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E58BE" w14:textId="6EFC152A" w:rsidR="00F65220" w:rsidRPr="00DB65A8" w:rsidRDefault="00F65220" w:rsidP="006F478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9A04" w14:textId="77777777" w:rsidR="006E2010" w:rsidRDefault="006E2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E688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DFE4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A838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19EFC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36218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320CE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AF4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105634B"/>
    <w:multiLevelType w:val="hybridMultilevel"/>
    <w:tmpl w:val="11BEF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55E76"/>
    <w:multiLevelType w:val="hybridMultilevel"/>
    <w:tmpl w:val="1B2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44378"/>
    <w:multiLevelType w:val="hybridMultilevel"/>
    <w:tmpl w:val="292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2C28BE"/>
    <w:multiLevelType w:val="hybridMultilevel"/>
    <w:tmpl w:val="86CC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D2E9E"/>
    <w:multiLevelType w:val="hybridMultilevel"/>
    <w:tmpl w:val="4BB005AE"/>
    <w:lvl w:ilvl="0" w:tplc="E87EB09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1612"/>
    <w:multiLevelType w:val="multilevel"/>
    <w:tmpl w:val="EAEAA5A0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Palatino" w:hAnsi="Palatino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3713819"/>
    <w:multiLevelType w:val="multilevel"/>
    <w:tmpl w:val="CF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" w:dllVersion="2" w:checkStyle="1"/>
  <w:proofState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7"/>
    <w:rsid w:val="00003EBF"/>
    <w:rsid w:val="00005B35"/>
    <w:rsid w:val="0001601A"/>
    <w:rsid w:val="000219FF"/>
    <w:rsid w:val="00030C44"/>
    <w:rsid w:val="00031534"/>
    <w:rsid w:val="00032ACE"/>
    <w:rsid w:val="00040471"/>
    <w:rsid w:val="00040A1F"/>
    <w:rsid w:val="00043CCD"/>
    <w:rsid w:val="0004717D"/>
    <w:rsid w:val="00052157"/>
    <w:rsid w:val="00070E00"/>
    <w:rsid w:val="0007189F"/>
    <w:rsid w:val="00082886"/>
    <w:rsid w:val="00087648"/>
    <w:rsid w:val="00090108"/>
    <w:rsid w:val="0009238E"/>
    <w:rsid w:val="00096787"/>
    <w:rsid w:val="000A3AC5"/>
    <w:rsid w:val="000A7400"/>
    <w:rsid w:val="000B06E2"/>
    <w:rsid w:val="000B7522"/>
    <w:rsid w:val="000C100C"/>
    <w:rsid w:val="000C372E"/>
    <w:rsid w:val="000C7A5A"/>
    <w:rsid w:val="000E1774"/>
    <w:rsid w:val="000F0033"/>
    <w:rsid w:val="000F0A37"/>
    <w:rsid w:val="000F0CEC"/>
    <w:rsid w:val="000F2C93"/>
    <w:rsid w:val="000F36BC"/>
    <w:rsid w:val="000F7477"/>
    <w:rsid w:val="000F7B35"/>
    <w:rsid w:val="000F7E87"/>
    <w:rsid w:val="00102766"/>
    <w:rsid w:val="00103E98"/>
    <w:rsid w:val="001070E5"/>
    <w:rsid w:val="00111A59"/>
    <w:rsid w:val="00112868"/>
    <w:rsid w:val="001141F6"/>
    <w:rsid w:val="00117742"/>
    <w:rsid w:val="00117CFE"/>
    <w:rsid w:val="00123A47"/>
    <w:rsid w:val="001350C7"/>
    <w:rsid w:val="00141B3B"/>
    <w:rsid w:val="0014478D"/>
    <w:rsid w:val="00150499"/>
    <w:rsid w:val="001600D9"/>
    <w:rsid w:val="00186178"/>
    <w:rsid w:val="00193E3F"/>
    <w:rsid w:val="001976A9"/>
    <w:rsid w:val="001A0965"/>
    <w:rsid w:val="001A202D"/>
    <w:rsid w:val="001B0CFB"/>
    <w:rsid w:val="001C2CFD"/>
    <w:rsid w:val="001C4A40"/>
    <w:rsid w:val="001C64D4"/>
    <w:rsid w:val="001F0FF1"/>
    <w:rsid w:val="001F394F"/>
    <w:rsid w:val="001F52D8"/>
    <w:rsid w:val="0020125B"/>
    <w:rsid w:val="002020D5"/>
    <w:rsid w:val="00203629"/>
    <w:rsid w:val="00213FB4"/>
    <w:rsid w:val="00215A0A"/>
    <w:rsid w:val="00225865"/>
    <w:rsid w:val="00225E27"/>
    <w:rsid w:val="00225F6F"/>
    <w:rsid w:val="0024359E"/>
    <w:rsid w:val="00247ABC"/>
    <w:rsid w:val="00253144"/>
    <w:rsid w:val="00256321"/>
    <w:rsid w:val="0025684C"/>
    <w:rsid w:val="00257C44"/>
    <w:rsid w:val="002618FB"/>
    <w:rsid w:val="0026235E"/>
    <w:rsid w:val="00263CF8"/>
    <w:rsid w:val="002647A5"/>
    <w:rsid w:val="002660E9"/>
    <w:rsid w:val="00273481"/>
    <w:rsid w:val="002953FB"/>
    <w:rsid w:val="002958ED"/>
    <w:rsid w:val="00296535"/>
    <w:rsid w:val="002A440A"/>
    <w:rsid w:val="002A6A99"/>
    <w:rsid w:val="002A794D"/>
    <w:rsid w:val="002B13D8"/>
    <w:rsid w:val="002B1C2F"/>
    <w:rsid w:val="002B3B0C"/>
    <w:rsid w:val="002B3FB4"/>
    <w:rsid w:val="002C6861"/>
    <w:rsid w:val="002C745A"/>
    <w:rsid w:val="002C783A"/>
    <w:rsid w:val="002D0B8E"/>
    <w:rsid w:val="002D273E"/>
    <w:rsid w:val="002D7178"/>
    <w:rsid w:val="002E7B6F"/>
    <w:rsid w:val="002F5978"/>
    <w:rsid w:val="00301D02"/>
    <w:rsid w:val="00310F7F"/>
    <w:rsid w:val="00314C06"/>
    <w:rsid w:val="0031613B"/>
    <w:rsid w:val="00327750"/>
    <w:rsid w:val="00335DBB"/>
    <w:rsid w:val="0034660C"/>
    <w:rsid w:val="00367827"/>
    <w:rsid w:val="0037165E"/>
    <w:rsid w:val="00386EDA"/>
    <w:rsid w:val="00392FE3"/>
    <w:rsid w:val="003A075F"/>
    <w:rsid w:val="003A7830"/>
    <w:rsid w:val="003A7B62"/>
    <w:rsid w:val="003B2BFB"/>
    <w:rsid w:val="003B4FBA"/>
    <w:rsid w:val="003C289D"/>
    <w:rsid w:val="003C41ED"/>
    <w:rsid w:val="003C496C"/>
    <w:rsid w:val="003D09B1"/>
    <w:rsid w:val="003D199B"/>
    <w:rsid w:val="003D419D"/>
    <w:rsid w:val="003D6A44"/>
    <w:rsid w:val="003D72FB"/>
    <w:rsid w:val="00402F70"/>
    <w:rsid w:val="00404103"/>
    <w:rsid w:val="0040485A"/>
    <w:rsid w:val="00405B6B"/>
    <w:rsid w:val="00414AB0"/>
    <w:rsid w:val="00426087"/>
    <w:rsid w:val="00431941"/>
    <w:rsid w:val="0043243D"/>
    <w:rsid w:val="00435102"/>
    <w:rsid w:val="00436341"/>
    <w:rsid w:val="0045012B"/>
    <w:rsid w:val="00456F0B"/>
    <w:rsid w:val="004618AF"/>
    <w:rsid w:val="004645A1"/>
    <w:rsid w:val="004659D1"/>
    <w:rsid w:val="00465D19"/>
    <w:rsid w:val="00474009"/>
    <w:rsid w:val="0047568D"/>
    <w:rsid w:val="00485B96"/>
    <w:rsid w:val="00487B41"/>
    <w:rsid w:val="00490059"/>
    <w:rsid w:val="00491455"/>
    <w:rsid w:val="00491F31"/>
    <w:rsid w:val="004926DE"/>
    <w:rsid w:val="004942A1"/>
    <w:rsid w:val="004949DD"/>
    <w:rsid w:val="004958E1"/>
    <w:rsid w:val="004A228B"/>
    <w:rsid w:val="004A4DC8"/>
    <w:rsid w:val="004B05AF"/>
    <w:rsid w:val="004B4A7A"/>
    <w:rsid w:val="004C0C4D"/>
    <w:rsid w:val="004C1389"/>
    <w:rsid w:val="004C3112"/>
    <w:rsid w:val="004C5422"/>
    <w:rsid w:val="004E00F7"/>
    <w:rsid w:val="004F4D22"/>
    <w:rsid w:val="00502C7A"/>
    <w:rsid w:val="0051789D"/>
    <w:rsid w:val="005275F4"/>
    <w:rsid w:val="00527B5E"/>
    <w:rsid w:val="0053244E"/>
    <w:rsid w:val="005340C5"/>
    <w:rsid w:val="00536B25"/>
    <w:rsid w:val="00547D6C"/>
    <w:rsid w:val="005517AF"/>
    <w:rsid w:val="00556029"/>
    <w:rsid w:val="005607DA"/>
    <w:rsid w:val="00570A08"/>
    <w:rsid w:val="005763A4"/>
    <w:rsid w:val="00581061"/>
    <w:rsid w:val="0058705A"/>
    <w:rsid w:val="00587B60"/>
    <w:rsid w:val="00591582"/>
    <w:rsid w:val="005916D9"/>
    <w:rsid w:val="00592A0D"/>
    <w:rsid w:val="00595FE7"/>
    <w:rsid w:val="00596561"/>
    <w:rsid w:val="005A578E"/>
    <w:rsid w:val="005A7144"/>
    <w:rsid w:val="005B6EE4"/>
    <w:rsid w:val="005B79CC"/>
    <w:rsid w:val="005C1A25"/>
    <w:rsid w:val="005C27A9"/>
    <w:rsid w:val="005C4EC1"/>
    <w:rsid w:val="005E23A9"/>
    <w:rsid w:val="005E2A03"/>
    <w:rsid w:val="005E59E0"/>
    <w:rsid w:val="006002F7"/>
    <w:rsid w:val="00601113"/>
    <w:rsid w:val="006040CB"/>
    <w:rsid w:val="00610C79"/>
    <w:rsid w:val="00611FBE"/>
    <w:rsid w:val="00616DEC"/>
    <w:rsid w:val="006211D5"/>
    <w:rsid w:val="006226D9"/>
    <w:rsid w:val="00624CB8"/>
    <w:rsid w:val="00640C11"/>
    <w:rsid w:val="00641343"/>
    <w:rsid w:val="00643ABC"/>
    <w:rsid w:val="00645BEB"/>
    <w:rsid w:val="00664242"/>
    <w:rsid w:val="00664291"/>
    <w:rsid w:val="00664B6F"/>
    <w:rsid w:val="0066565D"/>
    <w:rsid w:val="006739C6"/>
    <w:rsid w:val="00675F86"/>
    <w:rsid w:val="00677ED6"/>
    <w:rsid w:val="00680A14"/>
    <w:rsid w:val="00696989"/>
    <w:rsid w:val="006971AE"/>
    <w:rsid w:val="006976C7"/>
    <w:rsid w:val="006A311C"/>
    <w:rsid w:val="006A35A9"/>
    <w:rsid w:val="006B4424"/>
    <w:rsid w:val="006C0FF8"/>
    <w:rsid w:val="006C2814"/>
    <w:rsid w:val="006E1CFF"/>
    <w:rsid w:val="006E1E3E"/>
    <w:rsid w:val="006E2010"/>
    <w:rsid w:val="006E74E0"/>
    <w:rsid w:val="006F094B"/>
    <w:rsid w:val="006F4788"/>
    <w:rsid w:val="00712D90"/>
    <w:rsid w:val="00720704"/>
    <w:rsid w:val="007229CC"/>
    <w:rsid w:val="00723C94"/>
    <w:rsid w:val="00725737"/>
    <w:rsid w:val="007264E3"/>
    <w:rsid w:val="007439DD"/>
    <w:rsid w:val="0074637A"/>
    <w:rsid w:val="007532DA"/>
    <w:rsid w:val="007626EB"/>
    <w:rsid w:val="00764D8B"/>
    <w:rsid w:val="00766F56"/>
    <w:rsid w:val="0077548B"/>
    <w:rsid w:val="00784480"/>
    <w:rsid w:val="0079027D"/>
    <w:rsid w:val="007909ED"/>
    <w:rsid w:val="00792DCA"/>
    <w:rsid w:val="007940FE"/>
    <w:rsid w:val="007A20B0"/>
    <w:rsid w:val="007A4893"/>
    <w:rsid w:val="007A4EA6"/>
    <w:rsid w:val="007B3C05"/>
    <w:rsid w:val="007C3958"/>
    <w:rsid w:val="007D5D16"/>
    <w:rsid w:val="007D5F62"/>
    <w:rsid w:val="007E1BD3"/>
    <w:rsid w:val="007F10B4"/>
    <w:rsid w:val="007F627C"/>
    <w:rsid w:val="00807B73"/>
    <w:rsid w:val="008127E6"/>
    <w:rsid w:val="00814C47"/>
    <w:rsid w:val="00820571"/>
    <w:rsid w:val="0083481E"/>
    <w:rsid w:val="00834E4F"/>
    <w:rsid w:val="008439E7"/>
    <w:rsid w:val="00852CC8"/>
    <w:rsid w:val="00853341"/>
    <w:rsid w:val="00853766"/>
    <w:rsid w:val="0085781A"/>
    <w:rsid w:val="00860C6C"/>
    <w:rsid w:val="008610D3"/>
    <w:rsid w:val="00865C75"/>
    <w:rsid w:val="008666C4"/>
    <w:rsid w:val="008712C7"/>
    <w:rsid w:val="008808FA"/>
    <w:rsid w:val="0089113C"/>
    <w:rsid w:val="00891BD8"/>
    <w:rsid w:val="00897B21"/>
    <w:rsid w:val="008A3050"/>
    <w:rsid w:val="008A3B94"/>
    <w:rsid w:val="008A56A4"/>
    <w:rsid w:val="008B0257"/>
    <w:rsid w:val="008C2BDA"/>
    <w:rsid w:val="008C779A"/>
    <w:rsid w:val="008D0468"/>
    <w:rsid w:val="008D2166"/>
    <w:rsid w:val="008D3305"/>
    <w:rsid w:val="008D3598"/>
    <w:rsid w:val="008D6C72"/>
    <w:rsid w:val="008E5189"/>
    <w:rsid w:val="008E74E9"/>
    <w:rsid w:val="008F23A6"/>
    <w:rsid w:val="008F25A0"/>
    <w:rsid w:val="008F78BF"/>
    <w:rsid w:val="00910EB7"/>
    <w:rsid w:val="00914769"/>
    <w:rsid w:val="00920726"/>
    <w:rsid w:val="00936A70"/>
    <w:rsid w:val="00943348"/>
    <w:rsid w:val="00943D55"/>
    <w:rsid w:val="00944F18"/>
    <w:rsid w:val="009514BD"/>
    <w:rsid w:val="009553F3"/>
    <w:rsid w:val="009617D9"/>
    <w:rsid w:val="0096541C"/>
    <w:rsid w:val="00976CC1"/>
    <w:rsid w:val="00977DA6"/>
    <w:rsid w:val="00990D05"/>
    <w:rsid w:val="009958D2"/>
    <w:rsid w:val="009A5698"/>
    <w:rsid w:val="009B19A8"/>
    <w:rsid w:val="009B554A"/>
    <w:rsid w:val="009C2146"/>
    <w:rsid w:val="009D7FE2"/>
    <w:rsid w:val="009E085A"/>
    <w:rsid w:val="009E78DE"/>
    <w:rsid w:val="009F2C5E"/>
    <w:rsid w:val="00A100B0"/>
    <w:rsid w:val="00A235DE"/>
    <w:rsid w:val="00A25748"/>
    <w:rsid w:val="00A27BF7"/>
    <w:rsid w:val="00A360F5"/>
    <w:rsid w:val="00A41E0C"/>
    <w:rsid w:val="00A44E17"/>
    <w:rsid w:val="00A462D3"/>
    <w:rsid w:val="00A4777C"/>
    <w:rsid w:val="00A519B0"/>
    <w:rsid w:val="00A51FE0"/>
    <w:rsid w:val="00A5761F"/>
    <w:rsid w:val="00A60CEC"/>
    <w:rsid w:val="00A625F8"/>
    <w:rsid w:val="00A6399D"/>
    <w:rsid w:val="00A65063"/>
    <w:rsid w:val="00A7336F"/>
    <w:rsid w:val="00AA4072"/>
    <w:rsid w:val="00AA75C1"/>
    <w:rsid w:val="00AB4C0F"/>
    <w:rsid w:val="00AC4D6B"/>
    <w:rsid w:val="00AC5304"/>
    <w:rsid w:val="00AD677E"/>
    <w:rsid w:val="00AD6CA5"/>
    <w:rsid w:val="00AE5CE0"/>
    <w:rsid w:val="00AF0903"/>
    <w:rsid w:val="00AF4BB1"/>
    <w:rsid w:val="00B02860"/>
    <w:rsid w:val="00B02B89"/>
    <w:rsid w:val="00B06FD1"/>
    <w:rsid w:val="00B102CB"/>
    <w:rsid w:val="00B12505"/>
    <w:rsid w:val="00B46E5E"/>
    <w:rsid w:val="00B51AB2"/>
    <w:rsid w:val="00B52955"/>
    <w:rsid w:val="00B53FEE"/>
    <w:rsid w:val="00B57BE8"/>
    <w:rsid w:val="00B7082E"/>
    <w:rsid w:val="00B71359"/>
    <w:rsid w:val="00B80D34"/>
    <w:rsid w:val="00B82BC8"/>
    <w:rsid w:val="00B8349B"/>
    <w:rsid w:val="00B83C86"/>
    <w:rsid w:val="00B85225"/>
    <w:rsid w:val="00B85786"/>
    <w:rsid w:val="00B85812"/>
    <w:rsid w:val="00B85872"/>
    <w:rsid w:val="00B93AA2"/>
    <w:rsid w:val="00B9578B"/>
    <w:rsid w:val="00B97828"/>
    <w:rsid w:val="00B97FF0"/>
    <w:rsid w:val="00BA060E"/>
    <w:rsid w:val="00BA1813"/>
    <w:rsid w:val="00BA4361"/>
    <w:rsid w:val="00BA6B46"/>
    <w:rsid w:val="00BA6B57"/>
    <w:rsid w:val="00BB584D"/>
    <w:rsid w:val="00BC3920"/>
    <w:rsid w:val="00BC3ABB"/>
    <w:rsid w:val="00BC45DF"/>
    <w:rsid w:val="00BC631D"/>
    <w:rsid w:val="00BD0E3B"/>
    <w:rsid w:val="00BD1DF1"/>
    <w:rsid w:val="00BD3B5C"/>
    <w:rsid w:val="00BE0CEA"/>
    <w:rsid w:val="00BE3A86"/>
    <w:rsid w:val="00BE4E86"/>
    <w:rsid w:val="00BF6EDB"/>
    <w:rsid w:val="00C018D4"/>
    <w:rsid w:val="00C064E8"/>
    <w:rsid w:val="00C07FFC"/>
    <w:rsid w:val="00C13A48"/>
    <w:rsid w:val="00C16B22"/>
    <w:rsid w:val="00C20038"/>
    <w:rsid w:val="00C212FE"/>
    <w:rsid w:val="00C26BE5"/>
    <w:rsid w:val="00C30F85"/>
    <w:rsid w:val="00C351F8"/>
    <w:rsid w:val="00C557AD"/>
    <w:rsid w:val="00C5601A"/>
    <w:rsid w:val="00C60207"/>
    <w:rsid w:val="00C804A3"/>
    <w:rsid w:val="00C861FD"/>
    <w:rsid w:val="00C86CA7"/>
    <w:rsid w:val="00C91CC9"/>
    <w:rsid w:val="00C944BB"/>
    <w:rsid w:val="00C95EA7"/>
    <w:rsid w:val="00CA3B6D"/>
    <w:rsid w:val="00CB4AB4"/>
    <w:rsid w:val="00CB5061"/>
    <w:rsid w:val="00CB5C31"/>
    <w:rsid w:val="00CC3C30"/>
    <w:rsid w:val="00CD05A6"/>
    <w:rsid w:val="00CD0973"/>
    <w:rsid w:val="00CD1573"/>
    <w:rsid w:val="00CD48B1"/>
    <w:rsid w:val="00CD7A36"/>
    <w:rsid w:val="00CE222E"/>
    <w:rsid w:val="00CE465B"/>
    <w:rsid w:val="00CE5EBC"/>
    <w:rsid w:val="00CF19EE"/>
    <w:rsid w:val="00D00109"/>
    <w:rsid w:val="00D018FE"/>
    <w:rsid w:val="00D01E01"/>
    <w:rsid w:val="00D0420B"/>
    <w:rsid w:val="00D05194"/>
    <w:rsid w:val="00D0592F"/>
    <w:rsid w:val="00D066C5"/>
    <w:rsid w:val="00D207FE"/>
    <w:rsid w:val="00D257CB"/>
    <w:rsid w:val="00D30307"/>
    <w:rsid w:val="00D31D23"/>
    <w:rsid w:val="00D41826"/>
    <w:rsid w:val="00D52F87"/>
    <w:rsid w:val="00D656D5"/>
    <w:rsid w:val="00D67C37"/>
    <w:rsid w:val="00D7534C"/>
    <w:rsid w:val="00D81154"/>
    <w:rsid w:val="00D83F40"/>
    <w:rsid w:val="00D8467F"/>
    <w:rsid w:val="00D874FA"/>
    <w:rsid w:val="00D90BF4"/>
    <w:rsid w:val="00DB69D0"/>
    <w:rsid w:val="00DB7C4E"/>
    <w:rsid w:val="00DC5642"/>
    <w:rsid w:val="00DD032E"/>
    <w:rsid w:val="00DE1AD9"/>
    <w:rsid w:val="00DF4357"/>
    <w:rsid w:val="00DF6164"/>
    <w:rsid w:val="00DF73A3"/>
    <w:rsid w:val="00E02AE7"/>
    <w:rsid w:val="00E04B95"/>
    <w:rsid w:val="00E1643A"/>
    <w:rsid w:val="00E31A6C"/>
    <w:rsid w:val="00E339CA"/>
    <w:rsid w:val="00E40369"/>
    <w:rsid w:val="00E444C4"/>
    <w:rsid w:val="00E54A44"/>
    <w:rsid w:val="00E619E7"/>
    <w:rsid w:val="00E660D0"/>
    <w:rsid w:val="00E665B2"/>
    <w:rsid w:val="00E80EB8"/>
    <w:rsid w:val="00E84FC6"/>
    <w:rsid w:val="00E87D02"/>
    <w:rsid w:val="00E9045D"/>
    <w:rsid w:val="00E936E7"/>
    <w:rsid w:val="00E93E13"/>
    <w:rsid w:val="00EA2633"/>
    <w:rsid w:val="00EB144B"/>
    <w:rsid w:val="00EC22C8"/>
    <w:rsid w:val="00ED33B2"/>
    <w:rsid w:val="00ED5218"/>
    <w:rsid w:val="00EE5E45"/>
    <w:rsid w:val="00EE6BA6"/>
    <w:rsid w:val="00EF3342"/>
    <w:rsid w:val="00EF434C"/>
    <w:rsid w:val="00EF4EF0"/>
    <w:rsid w:val="00EF7D03"/>
    <w:rsid w:val="00F012DC"/>
    <w:rsid w:val="00F03A17"/>
    <w:rsid w:val="00F04EB6"/>
    <w:rsid w:val="00F10B2B"/>
    <w:rsid w:val="00F115F9"/>
    <w:rsid w:val="00F13BD6"/>
    <w:rsid w:val="00F14A68"/>
    <w:rsid w:val="00F17119"/>
    <w:rsid w:val="00F21224"/>
    <w:rsid w:val="00F23B4B"/>
    <w:rsid w:val="00F25FC8"/>
    <w:rsid w:val="00F32C7F"/>
    <w:rsid w:val="00F331BE"/>
    <w:rsid w:val="00F4001E"/>
    <w:rsid w:val="00F407C6"/>
    <w:rsid w:val="00F46589"/>
    <w:rsid w:val="00F611A7"/>
    <w:rsid w:val="00F639CA"/>
    <w:rsid w:val="00F64584"/>
    <w:rsid w:val="00F65220"/>
    <w:rsid w:val="00F66EC6"/>
    <w:rsid w:val="00F679C5"/>
    <w:rsid w:val="00F71FC2"/>
    <w:rsid w:val="00F80DD9"/>
    <w:rsid w:val="00F83A8A"/>
    <w:rsid w:val="00F874FA"/>
    <w:rsid w:val="00FA46DF"/>
    <w:rsid w:val="00FA4EFE"/>
    <w:rsid w:val="00FB42A9"/>
    <w:rsid w:val="00FC51F4"/>
    <w:rsid w:val="00FC5EF7"/>
    <w:rsid w:val="00FE17D8"/>
    <w:rsid w:val="00FE21A8"/>
    <w:rsid w:val="00FE3EAE"/>
    <w:rsid w:val="00FF2CFB"/>
    <w:rsid w:val="00FF5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73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PI Normal"/>
    <w:qFormat/>
    <w:rsid w:val="00F13BD6"/>
    <w:pPr>
      <w:spacing w:line="300" w:lineRule="exact"/>
    </w:pPr>
    <w:rPr>
      <w:rFonts w:asciiTheme="majorHAnsi" w:hAnsiTheme="majorHAnsi"/>
      <w:sz w:val="22"/>
      <w:szCs w:val="24"/>
    </w:rPr>
  </w:style>
  <w:style w:type="paragraph" w:styleId="Heading1">
    <w:name w:val="heading 1"/>
    <w:aliases w:val="MPI Header,Head 1WMEP"/>
    <w:basedOn w:val="Normal"/>
    <w:next w:val="Normal"/>
    <w:link w:val="Heading1Char"/>
    <w:qFormat/>
    <w:rsid w:val="006040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6235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9D55D0"/>
    <w:pPr>
      <w:keepNext/>
      <w:spacing w:line="240" w:lineRule="auto"/>
      <w:jc w:val="center"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9F4C01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238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rsid w:val="00316215"/>
    <w:rPr>
      <w:rFonts w:ascii="Tahoma" w:eastAsia="Times New Roman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rsid w:val="0066083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MPI Header Char,Head 1WMEP Char"/>
    <w:link w:val="Heading1"/>
    <w:rsid w:val="006040CB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link w:val="Heading2"/>
    <w:rsid w:val="0026235E"/>
    <w:rPr>
      <w:rFonts w:ascii="Arial" w:hAnsi="Arial"/>
      <w:b/>
      <w:sz w:val="22"/>
      <w:szCs w:val="24"/>
    </w:rPr>
  </w:style>
  <w:style w:type="character" w:customStyle="1" w:styleId="Heading3Char">
    <w:name w:val="Heading 3 Char"/>
    <w:link w:val="Heading3"/>
    <w:rsid w:val="009F4C01"/>
    <w:rPr>
      <w:rFonts w:ascii="Helvetica" w:hAnsi="Helvetica"/>
      <w:b/>
      <w:sz w:val="18"/>
      <w:szCs w:val="24"/>
    </w:rPr>
  </w:style>
  <w:style w:type="character" w:customStyle="1" w:styleId="Heading4Char">
    <w:name w:val="Heading 4 Char"/>
    <w:link w:val="Heading4"/>
    <w:rsid w:val="009F4C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loonTextChar2">
    <w:name w:val="Balloon Text Char2"/>
    <w:link w:val="BalloonText"/>
    <w:rsid w:val="009F4C01"/>
    <w:rPr>
      <w:rFonts w:ascii="Tahoma" w:eastAsia="Times New Roman" w:hAnsi="Tahoma"/>
      <w:sz w:val="16"/>
      <w:szCs w:val="24"/>
    </w:rPr>
  </w:style>
  <w:style w:type="character" w:customStyle="1" w:styleId="BalloonTextChar0">
    <w:name w:val="Balloon Text Char"/>
    <w:uiPriority w:val="99"/>
    <w:semiHidden/>
    <w:rsid w:val="00017E55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uiPriority w:val="99"/>
    <w:semiHidden/>
    <w:rsid w:val="00D8690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452CD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uiPriority w:val="99"/>
    <w:rsid w:val="00D0657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6215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F90147"/>
    <w:rPr>
      <w:rFonts w:ascii="Helvetica" w:hAnsi="Helvetica"/>
      <w:szCs w:val="24"/>
    </w:rPr>
  </w:style>
  <w:style w:type="character" w:styleId="PageNumber">
    <w:name w:val="page number"/>
    <w:basedOn w:val="DefaultParagraphFont"/>
    <w:rsid w:val="00316215"/>
  </w:style>
  <w:style w:type="paragraph" w:styleId="BodyText">
    <w:name w:val="Body Text"/>
    <w:basedOn w:val="Normal"/>
    <w:link w:val="BodyTextChar"/>
    <w:rsid w:val="00316215"/>
    <w:pPr>
      <w:spacing w:after="120"/>
    </w:pPr>
    <w:rPr>
      <w:rFonts w:ascii="Bell MT" w:eastAsia="Times New Roman" w:hAnsi="Bell MT"/>
    </w:rPr>
  </w:style>
  <w:style w:type="character" w:customStyle="1" w:styleId="BodyTextChar">
    <w:name w:val="Body Text Char"/>
    <w:link w:val="BodyText"/>
    <w:rsid w:val="009F4C01"/>
    <w:rPr>
      <w:rFonts w:ascii="Bell MT" w:eastAsia="Times New Roman" w:hAnsi="Bell MT"/>
      <w:sz w:val="22"/>
      <w:szCs w:val="24"/>
    </w:rPr>
  </w:style>
  <w:style w:type="paragraph" w:styleId="Header">
    <w:name w:val="header"/>
    <w:basedOn w:val="Normal"/>
    <w:link w:val="HeaderChar"/>
    <w:uiPriority w:val="99"/>
    <w:rsid w:val="00316215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uiPriority w:val="99"/>
    <w:rsid w:val="00033E49"/>
    <w:rPr>
      <w:rFonts w:ascii="Times" w:hAnsi="Times"/>
      <w:sz w:val="24"/>
    </w:rPr>
  </w:style>
  <w:style w:type="character" w:customStyle="1" w:styleId="bluetext">
    <w:name w:val="blue text"/>
    <w:rsid w:val="00316215"/>
    <w:rPr>
      <w:color w:val="5672AA"/>
    </w:rPr>
  </w:style>
  <w:style w:type="character" w:customStyle="1" w:styleId="Footer1">
    <w:name w:val="Footer1"/>
    <w:rsid w:val="00316215"/>
    <w:rPr>
      <w:rFonts w:ascii="Century Gothic" w:hAnsi="Century Gothic" w:cs="Arial"/>
      <w:sz w:val="16"/>
      <w:szCs w:val="16"/>
    </w:rPr>
  </w:style>
  <w:style w:type="paragraph" w:customStyle="1" w:styleId="proposalforservices">
    <w:name w:val="proposal for services"/>
    <w:basedOn w:val="Normal"/>
    <w:rsid w:val="00316215"/>
    <w:rPr>
      <w:rFonts w:ascii="Century Gothic" w:eastAsia="Times New Roman" w:hAnsi="Century Gothic"/>
      <w:sz w:val="56"/>
    </w:rPr>
  </w:style>
  <w:style w:type="paragraph" w:customStyle="1" w:styleId="proposalname">
    <w:name w:val="proposal name"/>
    <w:basedOn w:val="Normal"/>
    <w:rsid w:val="00316215"/>
    <w:pPr>
      <w:tabs>
        <w:tab w:val="left" w:pos="1440"/>
      </w:tabs>
      <w:spacing w:after="240"/>
      <w:ind w:left="1440" w:hanging="1440"/>
    </w:pPr>
    <w:rPr>
      <w:rFonts w:ascii="Century Gothic" w:eastAsia="Times New Roman" w:hAnsi="Century Gothic"/>
      <w:color w:val="808080"/>
      <w:sz w:val="56"/>
    </w:rPr>
  </w:style>
  <w:style w:type="character" w:customStyle="1" w:styleId="Header1">
    <w:name w:val="Header1"/>
    <w:rsid w:val="00316215"/>
    <w:rPr>
      <w:rFonts w:ascii="Century Gothic" w:hAnsi="Century Gothic"/>
      <w:color w:val="808080"/>
      <w:sz w:val="18"/>
      <w:szCs w:val="18"/>
    </w:rPr>
  </w:style>
  <w:style w:type="character" w:customStyle="1" w:styleId="PageNumber1">
    <w:name w:val="Page Number1"/>
    <w:rsid w:val="00316215"/>
    <w:rPr>
      <w:rFonts w:ascii="Century Gothic" w:hAnsi="Century Gothic"/>
      <w:b/>
      <w:sz w:val="18"/>
    </w:rPr>
  </w:style>
  <w:style w:type="character" w:customStyle="1" w:styleId="preparedfor">
    <w:name w:val="prepared for"/>
    <w:rsid w:val="00316215"/>
    <w:rPr>
      <w:rFonts w:ascii="Century Gothic" w:hAnsi="Century Gothic"/>
      <w:color w:val="808080"/>
      <w:sz w:val="28"/>
      <w:szCs w:val="28"/>
    </w:rPr>
  </w:style>
  <w:style w:type="character" w:customStyle="1" w:styleId="assocname">
    <w:name w:val="assoc name"/>
    <w:rsid w:val="00316215"/>
    <w:rPr>
      <w:rFonts w:ascii="Century Gothic" w:hAnsi="Century Gothic"/>
      <w:b/>
      <w:bCs/>
      <w:color w:val="808080"/>
      <w:sz w:val="24"/>
    </w:rPr>
  </w:style>
  <w:style w:type="character" w:customStyle="1" w:styleId="assocaddr">
    <w:name w:val="assoc addr"/>
    <w:rsid w:val="00316215"/>
    <w:rPr>
      <w:rFonts w:ascii="Century Gothic" w:hAnsi="Century Gothic"/>
    </w:rPr>
  </w:style>
  <w:style w:type="character" w:customStyle="1" w:styleId="footnote">
    <w:name w:val="footnote"/>
    <w:rsid w:val="00316215"/>
    <w:rPr>
      <w:sz w:val="18"/>
      <w:szCs w:val="18"/>
    </w:rPr>
  </w:style>
  <w:style w:type="paragraph" w:customStyle="1" w:styleId="n">
    <w:name w:val="n"/>
    <w:basedOn w:val="Normal"/>
    <w:rsid w:val="00316215"/>
    <w:pPr>
      <w:pBdr>
        <w:left w:val="single" w:sz="24" w:space="4" w:color="5672AA"/>
      </w:pBdr>
      <w:tabs>
        <w:tab w:val="left" w:pos="1080"/>
        <w:tab w:val="num" w:pos="2160"/>
      </w:tabs>
      <w:spacing w:after="240"/>
      <w:ind w:left="2160" w:hanging="360"/>
    </w:pPr>
    <w:rPr>
      <w:rFonts w:ascii="Bell MT" w:eastAsia="Times New Roman" w:hAnsi="Bell MT"/>
    </w:rPr>
  </w:style>
  <w:style w:type="paragraph" w:customStyle="1" w:styleId="numberedlist">
    <w:name w:val="numbered list"/>
    <w:basedOn w:val="n"/>
    <w:rsid w:val="00316215"/>
    <w:pPr>
      <w:keepLines/>
      <w:pBdr>
        <w:left w:val="single" w:sz="48" w:space="3" w:color="FFFFFF"/>
        <w:bottom w:val="single" w:sz="48" w:space="3" w:color="FFFFFF"/>
      </w:pBdr>
      <w:tabs>
        <w:tab w:val="clear" w:pos="1080"/>
        <w:tab w:val="clear" w:pos="2160"/>
        <w:tab w:val="left" w:pos="720"/>
        <w:tab w:val="left" w:pos="1440"/>
      </w:tabs>
      <w:spacing w:after="160" w:line="220" w:lineRule="atLeast"/>
      <w:ind w:left="720"/>
    </w:pPr>
    <w:rPr>
      <w:rFonts w:ascii="Arial Narrow" w:hAnsi="Arial Narrow"/>
      <w:i/>
      <w:color w:val="9B8663"/>
    </w:rPr>
  </w:style>
  <w:style w:type="paragraph" w:customStyle="1" w:styleId="BodyTextKeep">
    <w:name w:val="Body Text Keep"/>
    <w:basedOn w:val="BodyText"/>
    <w:rsid w:val="00316215"/>
    <w:pPr>
      <w:keepNext/>
      <w:spacing w:after="220" w:line="220" w:lineRule="atLeast"/>
      <w:ind w:left="1080"/>
    </w:pPr>
    <w:rPr>
      <w:rFonts w:ascii="Times New Roman" w:hAnsi="Times New Roman"/>
    </w:rPr>
  </w:style>
  <w:style w:type="paragraph" w:customStyle="1" w:styleId="Picture">
    <w:name w:val="Picture"/>
    <w:basedOn w:val="Normal"/>
    <w:next w:val="Caption"/>
    <w:rsid w:val="00316215"/>
    <w:pPr>
      <w:keepNext/>
      <w:ind w:left="1080"/>
    </w:pPr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316215"/>
    <w:rPr>
      <w:rFonts w:ascii="Bell MT" w:eastAsia="Times New Roman" w:hAnsi="Bell MT"/>
      <w:b/>
    </w:rPr>
  </w:style>
  <w:style w:type="paragraph" w:styleId="DocumentMap">
    <w:name w:val="Document Map"/>
    <w:basedOn w:val="Normal"/>
    <w:semiHidden/>
    <w:rsid w:val="00316215"/>
    <w:pPr>
      <w:shd w:val="clear" w:color="auto" w:fill="000080"/>
    </w:pPr>
    <w:rPr>
      <w:rFonts w:eastAsia="MS Gothic"/>
    </w:rPr>
  </w:style>
  <w:style w:type="paragraph" w:styleId="BodyText2">
    <w:name w:val="Body Text 2"/>
    <w:basedOn w:val="Normal"/>
    <w:semiHidden/>
    <w:rsid w:val="00316215"/>
    <w:pPr>
      <w:tabs>
        <w:tab w:val="left" w:pos="0"/>
        <w:tab w:val="left" w:pos="3600"/>
      </w:tabs>
      <w:jc w:val="both"/>
    </w:pPr>
    <w:rPr>
      <w:sz w:val="16"/>
    </w:rPr>
  </w:style>
  <w:style w:type="character" w:styleId="Hyperlink">
    <w:name w:val="Hyperlink"/>
    <w:uiPriority w:val="99"/>
    <w:rsid w:val="00316215"/>
    <w:rPr>
      <w:color w:val="0000FF"/>
      <w:u w:val="single"/>
    </w:rPr>
  </w:style>
  <w:style w:type="paragraph" w:customStyle="1" w:styleId="MediumGrid21">
    <w:name w:val="Medium Grid 21"/>
    <w:link w:val="MediumGrid2Char"/>
    <w:uiPriority w:val="1"/>
    <w:qFormat/>
    <w:rsid w:val="009770BB"/>
    <w:rPr>
      <w:rFonts w:ascii="Calibri" w:eastAsia="Times New Roman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770BB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rsid w:val="00AA46C4"/>
    <w:pPr>
      <w:ind w:left="720"/>
      <w:contextualSpacing/>
    </w:pPr>
  </w:style>
  <w:style w:type="paragraph" w:customStyle="1" w:styleId="MPInormal">
    <w:name w:val="MPI normal"/>
    <w:basedOn w:val="Normal"/>
    <w:qFormat/>
    <w:rsid w:val="00AB195B"/>
  </w:style>
  <w:style w:type="paragraph" w:customStyle="1" w:styleId="Head1">
    <w:name w:val="Head1"/>
    <w:basedOn w:val="Normal"/>
    <w:rsid w:val="00F2318C"/>
    <w:pPr>
      <w:spacing w:before="360" w:after="360" w:line="240" w:lineRule="auto"/>
      <w:jc w:val="center"/>
    </w:pPr>
    <w:rPr>
      <w:rFonts w:eastAsia="Times New Roman"/>
      <w:b/>
      <w:smallCaps/>
      <w:spacing w:val="68"/>
      <w:kern w:val="18"/>
      <w:sz w:val="36"/>
      <w:szCs w:val="20"/>
    </w:rPr>
  </w:style>
  <w:style w:type="paragraph" w:styleId="NormalWeb">
    <w:name w:val="Normal (Web)"/>
    <w:basedOn w:val="Normal"/>
    <w:uiPriority w:val="99"/>
    <w:rsid w:val="00F2318C"/>
    <w:pPr>
      <w:spacing w:line="240" w:lineRule="auto"/>
      <w:jc w:val="both"/>
    </w:pPr>
    <w:rPr>
      <w:rFonts w:eastAsia="Times New Roman"/>
      <w:kern w:val="18"/>
      <w:szCs w:val="20"/>
    </w:rPr>
  </w:style>
  <w:style w:type="paragraph" w:customStyle="1" w:styleId="Head2">
    <w:name w:val="Head2"/>
    <w:basedOn w:val="Normal"/>
    <w:next w:val="Text"/>
    <w:rsid w:val="004E7F2E"/>
    <w:pPr>
      <w:spacing w:before="360" w:after="120" w:line="240" w:lineRule="auto"/>
      <w:jc w:val="both"/>
    </w:pPr>
    <w:rPr>
      <w:rFonts w:ascii="Verdana" w:eastAsia="Times New Roman" w:hAnsi="Verdana"/>
      <w:b/>
      <w:smallCaps/>
      <w:color w:val="000080"/>
      <w:spacing w:val="24"/>
      <w:kern w:val="18"/>
      <w:szCs w:val="20"/>
    </w:rPr>
  </w:style>
  <w:style w:type="paragraph" w:customStyle="1" w:styleId="Text">
    <w:name w:val="Text"/>
    <w:basedOn w:val="Normal"/>
    <w:rsid w:val="004E7F2E"/>
    <w:pPr>
      <w:spacing w:after="120" w:line="240" w:lineRule="auto"/>
      <w:jc w:val="both"/>
    </w:pPr>
    <w:rPr>
      <w:rFonts w:eastAsia="Times New Roman"/>
      <w:kern w:val="18"/>
      <w:szCs w:val="20"/>
    </w:rPr>
  </w:style>
  <w:style w:type="paragraph" w:styleId="Title">
    <w:name w:val="Title"/>
    <w:basedOn w:val="Normal"/>
    <w:link w:val="TitleChar"/>
    <w:qFormat/>
    <w:rsid w:val="00653226"/>
    <w:pPr>
      <w:spacing w:line="240" w:lineRule="auto"/>
      <w:jc w:val="center"/>
    </w:pPr>
    <w:rPr>
      <w:rFonts w:ascii="Arial" w:eastAsia="Times New Roman" w:hAnsi="Arial"/>
      <w:b/>
      <w:sz w:val="28"/>
      <w:szCs w:val="20"/>
      <w:lang w:eastAsia="zh-CN"/>
    </w:rPr>
  </w:style>
  <w:style w:type="character" w:customStyle="1" w:styleId="TitleChar">
    <w:name w:val="Title Char"/>
    <w:link w:val="Title"/>
    <w:rsid w:val="00653226"/>
    <w:rPr>
      <w:rFonts w:ascii="Arial" w:eastAsia="Times New Roman" w:hAnsi="Arial"/>
      <w:b/>
      <w:sz w:val="28"/>
      <w:lang w:eastAsia="zh-CN"/>
    </w:rPr>
  </w:style>
  <w:style w:type="table" w:styleId="TableGrid">
    <w:name w:val="Table Grid"/>
    <w:basedOn w:val="TableNormal"/>
    <w:rsid w:val="00493D5F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8" w:type="dxa"/>
        <w:left w:w="58" w:type="dxa"/>
        <w:bottom w:w="58" w:type="dxa"/>
        <w:right w:w="58" w:type="dxa"/>
      </w:tcMar>
      <w:vAlign w:val="center"/>
    </w:tcPr>
  </w:style>
  <w:style w:type="character" w:styleId="CommentReference">
    <w:name w:val="annotation reference"/>
    <w:uiPriority w:val="99"/>
    <w:unhideWhenUsed/>
    <w:rsid w:val="005E4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70E"/>
    <w:rPr>
      <w:rFonts w:ascii="Helvetica" w:hAnsi="Helvetica"/>
      <w:szCs w:val="20"/>
    </w:rPr>
  </w:style>
  <w:style w:type="character" w:customStyle="1" w:styleId="CommentTextChar">
    <w:name w:val="Comment Text Char"/>
    <w:link w:val="CommentText"/>
    <w:uiPriority w:val="99"/>
    <w:rsid w:val="005E470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E470E"/>
    <w:rPr>
      <w:b/>
      <w:bCs/>
    </w:rPr>
  </w:style>
  <w:style w:type="character" w:customStyle="1" w:styleId="CommentSubjectChar">
    <w:name w:val="Comment Subject Char"/>
    <w:link w:val="CommentSubject"/>
    <w:rsid w:val="005E470E"/>
    <w:rPr>
      <w:rFonts w:ascii="Helvetica" w:hAnsi="Helvetica"/>
      <w:b/>
      <w:bCs/>
    </w:rPr>
  </w:style>
  <w:style w:type="paragraph" w:styleId="BodyText3">
    <w:name w:val="Body Text 3"/>
    <w:basedOn w:val="Normal"/>
    <w:rsid w:val="009D55D0"/>
    <w:pPr>
      <w:spacing w:line="240" w:lineRule="auto"/>
    </w:pPr>
    <w:rPr>
      <w:sz w:val="18"/>
    </w:rPr>
  </w:style>
  <w:style w:type="paragraph" w:customStyle="1" w:styleId="HeadingBase">
    <w:name w:val="Heading Base"/>
    <w:basedOn w:val="BodyText"/>
    <w:next w:val="BodyText"/>
    <w:rsid w:val="00F90147"/>
    <w:pPr>
      <w:keepNext/>
      <w:keepLines/>
      <w:spacing w:after="0" w:line="240" w:lineRule="atLeast"/>
    </w:pPr>
    <w:rPr>
      <w:rFonts w:ascii="Garamond" w:hAnsi="Garamond"/>
      <w:kern w:val="20"/>
      <w:szCs w:val="20"/>
    </w:rPr>
  </w:style>
  <w:style w:type="paragraph" w:styleId="Salutation">
    <w:name w:val="Salutation"/>
    <w:basedOn w:val="Normal"/>
    <w:next w:val="Normal"/>
    <w:link w:val="SalutationChar"/>
    <w:rsid w:val="00E27FCC"/>
    <w:pPr>
      <w:spacing w:before="240" w:after="240" w:line="240" w:lineRule="atLeast"/>
    </w:pPr>
    <w:rPr>
      <w:rFonts w:eastAsia="Times New Roman"/>
      <w:kern w:val="18"/>
      <w:szCs w:val="20"/>
    </w:rPr>
  </w:style>
  <w:style w:type="character" w:customStyle="1" w:styleId="SalutationChar">
    <w:name w:val="Salutation Char"/>
    <w:link w:val="Salutation"/>
    <w:rsid w:val="00E27FCC"/>
    <w:rPr>
      <w:rFonts w:ascii="Garamond" w:eastAsia="Times New Roman" w:hAnsi="Garamond"/>
      <w:kern w:val="18"/>
    </w:rPr>
  </w:style>
  <w:style w:type="character" w:styleId="Strong">
    <w:name w:val="Strong"/>
    <w:qFormat/>
    <w:rsid w:val="00740204"/>
    <w:rPr>
      <w:b/>
    </w:rPr>
  </w:style>
  <w:style w:type="character" w:styleId="FootnoteReference">
    <w:name w:val="footnote reference"/>
    <w:rsid w:val="009F4C01"/>
    <w:rPr>
      <w:rFonts w:ascii="Times New Roman" w:hAnsi="Times New Roman"/>
      <w:sz w:val="20"/>
      <w:vertAlign w:val="superscript"/>
    </w:rPr>
  </w:style>
  <w:style w:type="character" w:styleId="EndnoteReference">
    <w:name w:val="endnote reference"/>
    <w:rsid w:val="009F4C01"/>
    <w:rPr>
      <w:rFonts w:ascii="Times New Roman" w:hAnsi="Times New Roman"/>
      <w:sz w:val="24"/>
      <w:vertAlign w:val="superscript"/>
    </w:rPr>
  </w:style>
  <w:style w:type="paragraph" w:styleId="BodyTextIndent">
    <w:name w:val="Body Text Indent"/>
    <w:basedOn w:val="Normal"/>
    <w:link w:val="BodyTextIndentChar"/>
    <w:rsid w:val="009F4C01"/>
    <w:pPr>
      <w:tabs>
        <w:tab w:val="left" w:pos="2758"/>
        <w:tab w:val="left" w:pos="3838"/>
        <w:tab w:val="left" w:pos="5098"/>
        <w:tab w:val="left" w:pos="6178"/>
        <w:tab w:val="left" w:pos="7258"/>
        <w:tab w:val="left" w:pos="8428"/>
        <w:tab w:val="left" w:pos="9576"/>
      </w:tabs>
      <w:spacing w:line="240" w:lineRule="auto"/>
      <w:ind w:left="88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9F4C01"/>
    <w:rPr>
      <w:rFonts w:ascii="Garamond" w:eastAsia="Times New Roman" w:hAnsi="Garamond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9F4C01"/>
    <w:pPr>
      <w:spacing w:line="240" w:lineRule="auto"/>
      <w:ind w:left="720"/>
      <w:contextualSpacing/>
      <w:jc w:val="both"/>
    </w:pPr>
    <w:rPr>
      <w:rFonts w:eastAsia="Cambria"/>
      <w:kern w:val="18"/>
    </w:rPr>
  </w:style>
  <w:style w:type="character" w:styleId="FollowedHyperlink">
    <w:name w:val="FollowedHyperlink"/>
    <w:uiPriority w:val="99"/>
    <w:rsid w:val="009F4C01"/>
    <w:rPr>
      <w:color w:val="800080"/>
      <w:u w:val="single"/>
    </w:rPr>
  </w:style>
  <w:style w:type="character" w:customStyle="1" w:styleId="BalloonTextChar10">
    <w:name w:val="Balloon Text Char1"/>
    <w:rsid w:val="009F4C01"/>
    <w:rPr>
      <w:rFonts w:ascii="Lucida Grande" w:hAnsi="Lucida Grande"/>
      <w:kern w:val="18"/>
      <w:sz w:val="18"/>
      <w:szCs w:val="18"/>
    </w:rPr>
  </w:style>
  <w:style w:type="paragraph" w:styleId="FootnoteText">
    <w:name w:val="footnote text"/>
    <w:basedOn w:val="Normal"/>
    <w:link w:val="FootnoteTextChar"/>
    <w:rsid w:val="009F4C01"/>
    <w:pPr>
      <w:spacing w:line="240" w:lineRule="auto"/>
      <w:jc w:val="both"/>
    </w:pPr>
    <w:rPr>
      <w:rFonts w:eastAsia="Cambria"/>
      <w:kern w:val="18"/>
    </w:rPr>
  </w:style>
  <w:style w:type="character" w:customStyle="1" w:styleId="FootnoteTextChar">
    <w:name w:val="Footnote Text Char"/>
    <w:link w:val="FootnoteText"/>
    <w:rsid w:val="009F4C01"/>
    <w:rPr>
      <w:rFonts w:ascii="Garamond" w:eastAsia="Cambria" w:hAnsi="Garamond"/>
      <w:kern w:val="18"/>
      <w:sz w:val="24"/>
      <w:szCs w:val="24"/>
    </w:rPr>
  </w:style>
  <w:style w:type="paragraph" w:styleId="EndnoteText">
    <w:name w:val="endnote text"/>
    <w:basedOn w:val="Normal"/>
    <w:link w:val="EndnoteTextChar"/>
    <w:rsid w:val="00EF7DB2"/>
    <w:pPr>
      <w:spacing w:line="240" w:lineRule="auto"/>
    </w:pPr>
    <w:rPr>
      <w:sz w:val="18"/>
    </w:rPr>
  </w:style>
  <w:style w:type="character" w:customStyle="1" w:styleId="EndnoteTextChar">
    <w:name w:val="Endnote Text Char"/>
    <w:link w:val="EndnoteText"/>
    <w:rsid w:val="00EF7DB2"/>
    <w:rPr>
      <w:rFonts w:ascii="Garamond" w:hAnsi="Garamond"/>
      <w:sz w:val="18"/>
      <w:szCs w:val="24"/>
    </w:rPr>
  </w:style>
  <w:style w:type="table" w:customStyle="1" w:styleId="ATable">
    <w:name w:val="A Table"/>
    <w:basedOn w:val="TableGrid"/>
    <w:qFormat/>
    <w:rsid w:val="001D7C7F"/>
    <w:rPr>
      <w:rFonts w:eastAsia="Cambria"/>
      <w:sz w:val="16"/>
      <w:szCs w:val="24"/>
    </w:rPr>
    <w:tblPr/>
    <w:tcPr>
      <w:tcMar>
        <w:top w:w="29" w:type="dxa"/>
        <w:left w:w="29" w:type="dxa"/>
        <w:bottom w:w="29" w:type="dxa"/>
        <w:right w:w="29" w:type="dxa"/>
      </w:tcMar>
    </w:tcPr>
  </w:style>
  <w:style w:type="paragraph" w:customStyle="1" w:styleId="MediumList2-Accent21">
    <w:name w:val="Medium List 2 - Accent 21"/>
    <w:hidden/>
    <w:rsid w:val="00715787"/>
    <w:rPr>
      <w:rFonts w:ascii="Garamond" w:hAnsi="Garamond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09238E"/>
    <w:rPr>
      <w:rFonts w:ascii="Times New Roman" w:eastAsia="Times New Roman" w:hAnsi="Times New Roman"/>
      <w:b/>
      <w:bCs/>
      <w:i/>
      <w:iCs/>
      <w:sz w:val="24"/>
      <w:szCs w:val="26"/>
    </w:rPr>
  </w:style>
  <w:style w:type="numbering" w:styleId="111111">
    <w:name w:val="Outline List 2"/>
    <w:aliases w:val="1 Head WMEP"/>
    <w:basedOn w:val="NoList"/>
    <w:rsid w:val="0009238E"/>
    <w:pPr>
      <w:numPr>
        <w:numId w:val="1"/>
      </w:numPr>
    </w:pPr>
  </w:style>
  <w:style w:type="table" w:styleId="Table3Deffects3">
    <w:name w:val="Table 3D effects 3"/>
    <w:basedOn w:val="TableNormal"/>
    <w:rsid w:val="0009238E"/>
    <w:rPr>
      <w:rFonts w:ascii="Times New Roman" w:eastAsiaTheme="minorEastAsia" w:hAnsi="Times New Roman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9238E"/>
    <w:rPr>
      <w:rFonts w:ascii="Times New Roman" w:eastAsiaTheme="minorEastAsia" w:hAnsi="Times New Roman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List Paragraph-1"/>
    <w:basedOn w:val="Normal"/>
    <w:uiPriority w:val="34"/>
    <w:qFormat/>
    <w:rsid w:val="004659D1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1027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QQuestionTable">
    <w:name w:val="QQuestionTable"/>
    <w:uiPriority w:val="99"/>
    <w:qFormat/>
    <w:rsid w:val="00491F31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491F31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numbering" w:customStyle="1" w:styleId="Multipunch">
    <w:name w:val="Multi punch"/>
    <w:rsid w:val="00491F31"/>
    <w:pPr>
      <w:numPr>
        <w:numId w:val="2"/>
      </w:numPr>
    </w:pPr>
  </w:style>
  <w:style w:type="numbering" w:customStyle="1" w:styleId="Singlepunch">
    <w:name w:val="Single punch"/>
    <w:rsid w:val="00491F31"/>
    <w:pPr>
      <w:numPr>
        <w:numId w:val="3"/>
      </w:numPr>
    </w:pPr>
  </w:style>
  <w:style w:type="character" w:styleId="UnresolvedMention">
    <w:name w:val="Unresolved Mention"/>
    <w:basedOn w:val="DefaultParagraphFont"/>
    <w:rsid w:val="007E1B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0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762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randt:Documents:Microsoft%20User%20Data:Saved%20Attachments:MPIproposal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Macintosh%20HD:Users:jbrandt:Documents:Microsoft%20User%20Data:Saved%20Attachments:MPIproposalTemplate.dotx</Template>
  <TotalTime>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Microsoft White Papers</vt:lpstr>
    </vt:vector>
  </TitlesOfParts>
  <Company>Microsoft</Company>
  <LinksUpToDate>false</LinksUpToDate>
  <CharactersWithSpaces>4406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http://en.wikipedia.org/wiki/Registration,_Evaluation,_Authorisation_and_Restriction_of_Chemicals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Microsoft White Papers</dc:title>
  <dc:subject/>
  <dc:creator>John Brandt</dc:creator>
  <cp:keywords/>
  <cp:lastModifiedBy>George Taninecz</cp:lastModifiedBy>
  <cp:revision>5</cp:revision>
  <cp:lastPrinted>2017-01-19T16:54:00Z</cp:lastPrinted>
  <dcterms:created xsi:type="dcterms:W3CDTF">2020-03-12T20:58:00Z</dcterms:created>
  <dcterms:modified xsi:type="dcterms:W3CDTF">2020-07-01T20:27:00Z</dcterms:modified>
</cp:coreProperties>
</file>